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宋体"/>
          <w:sz w:val="32"/>
          <w:szCs w:val="32"/>
        </w:rPr>
      </w:pPr>
      <w:r>
        <w:rPr>
          <w:rFonts w:hint="eastAsia" w:ascii="黑体" w:hAnsi="黑体" w:eastAsia="黑体" w:cs="宋体"/>
          <w:sz w:val="32"/>
          <w:szCs w:val="32"/>
        </w:rPr>
        <w:t>《员工招聘与甄选》课程教学改革研究</w:t>
      </w:r>
      <w:r>
        <w:rPr>
          <w:rStyle w:val="9"/>
          <w:rFonts w:ascii="黑体" w:hAnsi="黑体" w:eastAsia="黑体" w:cs="宋体"/>
          <w:sz w:val="32"/>
          <w:szCs w:val="32"/>
        </w:rPr>
        <w:footnoteReference w:id="0" w:customMarkFollows="1"/>
        <w:sym w:font="Symbol" w:char="F020"/>
      </w:r>
    </w:p>
    <w:p>
      <w:pPr>
        <w:autoSpaceDE w:val="0"/>
        <w:autoSpaceDN w:val="0"/>
        <w:adjustRightInd w:val="0"/>
        <w:spacing w:line="300" w:lineRule="auto"/>
        <w:jc w:val="center"/>
        <w:rPr>
          <w:rFonts w:ascii="宋体" w:hAnsi="宋体" w:cs="AdobeHeitiStd-Regular"/>
          <w:kern w:val="0"/>
          <w:szCs w:val="21"/>
        </w:rPr>
      </w:pPr>
      <w:r>
        <w:rPr>
          <w:rFonts w:hint="eastAsia" w:ascii="宋体" w:hAnsi="宋体" w:cs="AdobeHeitiStd-Regular"/>
          <w:kern w:val="0"/>
          <w:szCs w:val="21"/>
        </w:rPr>
        <w:t>曹慧</w:t>
      </w:r>
      <w:r>
        <w:rPr>
          <w:rFonts w:hint="eastAsia" w:ascii="宋体" w:hAnsi="宋体" w:cs="AdobeHeitiStd-Regular"/>
          <w:kern w:val="0"/>
          <w:szCs w:val="21"/>
          <w:vertAlign w:val="superscript"/>
        </w:rPr>
        <w:t>1</w:t>
      </w:r>
      <w:r>
        <w:rPr>
          <w:rFonts w:hint="eastAsia" w:ascii="宋体" w:hAnsi="宋体" w:cs="AdobeHeitiStd-Regular"/>
          <w:kern w:val="0"/>
          <w:szCs w:val="21"/>
        </w:rPr>
        <w:t>，申鑫</w:t>
      </w:r>
      <w:r>
        <w:rPr>
          <w:rFonts w:hint="eastAsia" w:ascii="宋体" w:hAnsi="宋体" w:cs="AdobeHeitiStd-Regular"/>
          <w:kern w:val="0"/>
          <w:szCs w:val="21"/>
          <w:vertAlign w:val="superscript"/>
        </w:rPr>
        <w:t>2</w:t>
      </w:r>
    </w:p>
    <w:p>
      <w:pPr>
        <w:autoSpaceDE w:val="0"/>
        <w:autoSpaceDN w:val="0"/>
        <w:adjustRightInd w:val="0"/>
        <w:spacing w:line="300" w:lineRule="auto"/>
        <w:jc w:val="center"/>
        <w:rPr>
          <w:rFonts w:ascii="宋体" w:hAnsi="宋体" w:cs="KTJ0+ZJLHxn-2"/>
          <w:kern w:val="0"/>
          <w:szCs w:val="21"/>
        </w:rPr>
      </w:pPr>
      <w:r>
        <w:rPr>
          <w:rFonts w:hint="eastAsia" w:ascii="宋体" w:hAnsi="宋体" w:cs="KTJ0+ZJLHxn-2"/>
          <w:kern w:val="0"/>
          <w:szCs w:val="21"/>
        </w:rPr>
        <w:t>(1.</w:t>
      </w:r>
      <w:r>
        <w:rPr>
          <w:rFonts w:hint="eastAsia" w:ascii="宋体" w:hAnsi="宋体" w:cs="FZKTK--GBK1-00+ZJLHxv-10"/>
          <w:kern w:val="0"/>
          <w:szCs w:val="21"/>
        </w:rPr>
        <w:t xml:space="preserve">北京城市学院 北京 </w:t>
      </w:r>
      <w:r>
        <w:rPr>
          <w:rFonts w:ascii="宋体" w:hAnsi="宋体" w:cs="FZKTK--GBK1-00+ZJLHxv-10"/>
          <w:kern w:val="0"/>
          <w:szCs w:val="21"/>
        </w:rPr>
        <w:t>100083；2.</w:t>
      </w:r>
      <w:r>
        <w:rPr>
          <w:rFonts w:hint="eastAsia" w:ascii="宋体" w:hAnsi="宋体" w:cs="FZKTK--GBK1-00+ZJLHxv-10"/>
          <w:kern w:val="0"/>
          <w:szCs w:val="21"/>
        </w:rPr>
        <w:t>山西医科大学管理学院 山西 晋中 030600</w:t>
      </w:r>
      <w:r>
        <w:rPr>
          <w:rFonts w:hint="eastAsia" w:ascii="宋体" w:hAnsi="宋体" w:cs="KTJ0+ZJLHxn-2"/>
          <w:kern w:val="0"/>
          <w:szCs w:val="21"/>
        </w:rPr>
        <w:t>)</w:t>
      </w:r>
    </w:p>
    <w:p>
      <w:pPr>
        <w:autoSpaceDE w:val="0"/>
        <w:autoSpaceDN w:val="0"/>
        <w:adjustRightInd w:val="0"/>
        <w:spacing w:line="300" w:lineRule="auto"/>
        <w:ind w:firstLine="422" w:firstLineChars="200"/>
        <w:rPr>
          <w:rFonts w:ascii="宋体" w:hAnsi="宋体" w:cs="KTJ0+ZJLHxn-2"/>
          <w:kern w:val="0"/>
          <w:szCs w:val="21"/>
        </w:rPr>
      </w:pPr>
      <w:r>
        <w:rPr>
          <w:rFonts w:ascii="宋体" w:hAnsi="宋体" w:cs="宋体"/>
          <w:b/>
          <w:bCs/>
        </w:rPr>
        <w:t>摘要：</w:t>
      </w:r>
      <w:r>
        <w:rPr>
          <w:rFonts w:hint="eastAsia"/>
        </w:rPr>
        <w:t>《员工招聘与甄选》课程是人力资源管理专业的一门专业核心课，课程具有很强的实践性、应用性</w:t>
      </w:r>
      <w:r>
        <w:rPr>
          <w:rFonts w:hint="eastAsia" w:ascii="宋体" w:hAnsi="宋体" w:cs="KTJ0+ZJLHxn-2"/>
          <w:kern w:val="0"/>
          <w:szCs w:val="21"/>
        </w:rPr>
        <w:t>。</w:t>
      </w:r>
      <w:r>
        <w:rPr>
          <w:rFonts w:hint="eastAsia"/>
        </w:rPr>
        <w:t>在坚持以学生需求为本的原则下，按照招聘工作的实际工作流程对课程进行改革：设计了基于工作过程的教学内容和教学方法，基于工作技能的考核方式，并按照学生需求实施针对性辅导。改革</w:t>
      </w:r>
      <w:r>
        <w:rPr>
          <w:rFonts w:hint="eastAsia" w:ascii="宋体" w:hAnsi="宋体" w:cs="KTJ0+ZJLHxn-2"/>
          <w:kern w:val="0"/>
          <w:szCs w:val="21"/>
        </w:rPr>
        <w:t>对提高课程的教学效果具有一定的现实意义。</w:t>
      </w:r>
    </w:p>
    <w:p>
      <w:pPr>
        <w:autoSpaceDE w:val="0"/>
        <w:autoSpaceDN w:val="0"/>
        <w:adjustRightInd w:val="0"/>
        <w:spacing w:line="300" w:lineRule="auto"/>
        <w:ind w:firstLine="422" w:firstLineChars="200"/>
        <w:rPr>
          <w:rFonts w:ascii="宋体" w:hAnsi="宋体" w:cs="FZKTK--GBK1-00+ZJLHxo-4"/>
          <w:kern w:val="0"/>
          <w:szCs w:val="21"/>
        </w:rPr>
      </w:pPr>
      <w:r>
        <w:rPr>
          <w:rFonts w:hint="eastAsia" w:ascii="宋体" w:hAnsi="宋体" w:cs="宋体"/>
          <w:b/>
          <w:bCs/>
          <w:color w:val="000000"/>
          <w:szCs w:val="21"/>
          <w:u w:color="000000"/>
          <w:lang w:val="zh-TW" w:eastAsia="zh-TW"/>
        </w:rPr>
        <w:t>关键词</w:t>
      </w:r>
      <w:r>
        <w:rPr>
          <w:rFonts w:ascii="宋体" w:hAnsi="宋体" w:cs="宋体"/>
          <w:b/>
          <w:bCs/>
          <w:color w:val="000000"/>
          <w:szCs w:val="21"/>
          <w:u w:color="000000"/>
          <w:lang w:val="zh-TW" w:eastAsia="zh-TW"/>
        </w:rPr>
        <w:t>：</w:t>
      </w:r>
      <w:r>
        <w:rPr>
          <w:rFonts w:hint="eastAsia" w:ascii="宋体" w:hAnsi="宋体" w:cs="FZKTK--GBK1-00+ZJLHxo-4"/>
          <w:kern w:val="0"/>
          <w:szCs w:val="21"/>
        </w:rPr>
        <w:t>员工招聘与甄选；教学内容；教学方法</w:t>
      </w:r>
      <w:r>
        <w:rPr>
          <w:rFonts w:ascii="宋体" w:hAnsi="宋体" w:cs="FZKTK--GBK1-00+ZJLHxo-4"/>
          <w:kern w:val="0"/>
          <w:szCs w:val="21"/>
        </w:rPr>
        <w:t>；</w:t>
      </w:r>
      <w:r>
        <w:rPr>
          <w:rFonts w:hint="eastAsia" w:ascii="宋体" w:hAnsi="宋体" w:cs="FZKTK--GBK1-00+ZJLHxo-4"/>
          <w:kern w:val="0"/>
          <w:szCs w:val="21"/>
        </w:rPr>
        <w:t>考核方法</w:t>
      </w:r>
    </w:p>
    <w:p>
      <w:pPr>
        <w:spacing w:line="360" w:lineRule="auto"/>
        <w:ind w:firstLine="422" w:firstLineChars="200"/>
        <w:jc w:val="left"/>
        <w:rPr>
          <w:szCs w:val="21"/>
        </w:rPr>
      </w:pPr>
      <w:r>
        <w:rPr>
          <w:rFonts w:hint="eastAsia" w:ascii="宋体" w:hAnsi="宋体" w:cs="宋体"/>
          <w:b/>
          <w:bCs/>
          <w:color w:val="000000"/>
          <w:szCs w:val="21"/>
          <w:u w:color="000000"/>
          <w:lang w:val="zh-TW" w:eastAsia="zh-TW"/>
        </w:rPr>
        <w:t>中图分类号</w:t>
      </w:r>
      <w:r>
        <w:rPr>
          <w:rFonts w:ascii="宋体" w:hAnsi="宋体" w:cs="宋体"/>
          <w:b/>
          <w:bCs/>
          <w:color w:val="000000"/>
          <w:szCs w:val="21"/>
          <w:u w:color="000000"/>
          <w:lang w:val="zh-TW" w:eastAsia="zh-TW"/>
        </w:rPr>
        <w:t>：</w:t>
      </w:r>
      <w:r>
        <w:rPr>
          <w:rFonts w:hint="eastAsia" w:ascii="宋体" w:hAnsi="宋体" w:cs="E-BZ+ZJLHxn-1"/>
          <w:kern w:val="0"/>
          <w:szCs w:val="21"/>
        </w:rPr>
        <w:t>G642.0</w:t>
      </w:r>
      <w:r>
        <w:rPr>
          <w:rFonts w:ascii="宋体" w:hAnsi="宋体" w:cs="E-BZ+ZJLHxn-1"/>
          <w:kern w:val="0"/>
          <w:szCs w:val="21"/>
        </w:rPr>
        <w:t xml:space="preserve"> </w:t>
      </w:r>
      <w:r>
        <w:rPr>
          <w:rFonts w:hint="eastAsia" w:ascii="宋体" w:hAnsi="宋体" w:cs="E-BZ+ZJLHxn-1"/>
          <w:kern w:val="0"/>
          <w:szCs w:val="21"/>
        </w:rPr>
        <w:t xml:space="preserve">      </w:t>
      </w:r>
      <w:r>
        <w:rPr>
          <w:rFonts w:hint="eastAsia" w:ascii="宋体" w:hAnsi="宋体" w:cs="宋体"/>
          <w:b/>
          <w:bCs/>
          <w:color w:val="000000"/>
          <w:szCs w:val="21"/>
          <w:u w:color="000000"/>
          <w:lang w:val="zh-TW" w:eastAsia="zh-TW"/>
        </w:rPr>
        <w:t>文献标志码</w:t>
      </w:r>
      <w:r>
        <w:rPr>
          <w:rFonts w:ascii="宋体" w:hAnsi="宋体" w:cs="宋体"/>
          <w:b/>
          <w:bCs/>
          <w:color w:val="000000"/>
          <w:szCs w:val="21"/>
          <w:u w:color="000000"/>
          <w:lang w:val="zh-TW" w:eastAsia="zh-TW"/>
        </w:rPr>
        <w:t>：</w:t>
      </w:r>
      <w:r>
        <w:rPr>
          <w:rFonts w:ascii="宋体" w:hAnsi="宋体" w:cs="E-BZ+ZJLHxn-1"/>
          <w:kern w:val="0"/>
          <w:szCs w:val="21"/>
        </w:rPr>
        <w:t xml:space="preserve">A </w:t>
      </w:r>
      <w:r>
        <w:rPr>
          <w:rFonts w:hint="eastAsia" w:ascii="宋体" w:hAnsi="宋体" w:cs="E-BZ+ZJLHxn-1"/>
          <w:kern w:val="0"/>
          <w:szCs w:val="21"/>
        </w:rPr>
        <w:t xml:space="preserve">       </w:t>
      </w:r>
      <w:r>
        <w:rPr>
          <w:rFonts w:hint="eastAsia" w:ascii="宋体" w:hAnsi="宋体" w:cs="宋体"/>
          <w:b/>
          <w:bCs/>
          <w:color w:val="000000"/>
          <w:szCs w:val="21"/>
          <w:u w:color="000000"/>
          <w:lang w:val="zh-TW" w:eastAsia="zh-TW"/>
        </w:rPr>
        <w:t>文章编号</w:t>
      </w:r>
      <w:r>
        <w:rPr>
          <w:rFonts w:ascii="宋体" w:hAnsi="宋体" w:cs="宋体"/>
          <w:b/>
          <w:bCs/>
          <w:color w:val="000000"/>
          <w:szCs w:val="21"/>
          <w:u w:color="000000"/>
          <w:lang w:val="zh-TW" w:eastAsia="zh-TW"/>
        </w:rPr>
        <w:t>：</w:t>
      </w:r>
    </w:p>
    <w:p>
      <w:pPr>
        <w:spacing w:line="360" w:lineRule="auto"/>
        <w:jc w:val="left"/>
        <w:rPr>
          <w:szCs w:val="21"/>
        </w:rPr>
      </w:pPr>
    </w:p>
    <w:p>
      <w:pPr>
        <w:spacing w:line="400" w:lineRule="exact"/>
        <w:ind w:firstLine="482" w:firstLineChars="200"/>
        <w:rPr>
          <w:rFonts w:ascii="宋体" w:hAnsi="宋体"/>
          <w:b/>
          <w:sz w:val="24"/>
        </w:rPr>
      </w:pPr>
      <w:r>
        <w:rPr>
          <w:rFonts w:hint="eastAsia" w:ascii="宋体" w:hAnsi="宋体"/>
          <w:b/>
          <w:sz w:val="24"/>
        </w:rPr>
        <w:t>引言</w:t>
      </w:r>
    </w:p>
    <w:p>
      <w:pPr>
        <w:spacing w:line="400" w:lineRule="exact"/>
        <w:ind w:firstLine="420" w:firstLineChars="200"/>
      </w:pPr>
      <w:r>
        <w:rPr>
          <w:rFonts w:hint="eastAsia"/>
        </w:rPr>
        <w:t>招聘是人力资源管理六大模块之一，在整个人力资源管理工作中起着基础性和决定性作用，是人力资源管理工作者必须掌握的一项专业技能。《员工招聘与甄选》课程是面向普通高校人力资源管理专业本科生开设的一门专业核心课，它系统介绍了有关招聘的基本程序、策略及技术方法，旨在使学生理解和掌握员工招聘与甄选的基本概念、原理和相关操作技能，形成较高工作能力，能够在未来胜任招聘管理相关工作的一门课程。由于招聘工作本身是操作性很强的一项人力资源管理工作，因此《员工招聘与甄选》课程也具有很强的实践性、应用性，学生无论是作为毕业求职时的应聘者还是工作岗位上的招聘者，这门课程都对其具有重要的实现意义。随着互联网、新媒体、人工智能的蓬勃发展，招聘工作面临着诸多新问题和新挑战，传统的侧重于理论知识的授课体系以及偏重讲解和讲授式的教学方法，很难适应时代的发展和应用型人才培养的需要。对《员工招聘与甄选》课程进行不断的调整和改革势在必行。</w:t>
      </w:r>
    </w:p>
    <w:p>
      <w:pPr>
        <w:spacing w:line="400" w:lineRule="exact"/>
        <w:ind w:firstLine="420" w:firstLineChars="200"/>
      </w:pPr>
      <w:r>
        <w:rPr>
          <w:rFonts w:hint="eastAsia"/>
        </w:rPr>
        <w:t>在坚持以学生需求为本的原则下，结合多年一线教学经验，笔者按照招聘工作的实际工作流程对课程进行改革。具体思路是：首先，重新梳理教学内容，侧重对招聘具体工作任务的分解，设计出基于工作过程的教学内容；其次，在招聘具体工作任务中提炼关键工作技能作为教学重点，并配套行之有效的教学方法，着力培育学生的专业技能与专业素养；第三，根据招聘具体工作任务设计基于工作技能的考核方式，侧重考察招聘过程中的重点知识和工作技能，确保学生学有所得、学有所用；第四，加强满足学生需求的针对性辅导。</w:t>
      </w:r>
    </w:p>
    <w:p>
      <w:pPr>
        <w:pStyle w:val="12"/>
        <w:keepNext w:val="0"/>
        <w:keepLines w:val="0"/>
        <w:spacing w:before="0" w:after="0" w:line="400" w:lineRule="exact"/>
        <w:ind w:firstLine="420"/>
        <w:rPr>
          <w:rFonts w:ascii="宋体" w:hAnsi="宋体" w:eastAsia="宋体" w:cs="宋体"/>
          <w:kern w:val="0"/>
          <w:sz w:val="24"/>
          <w:szCs w:val="24"/>
          <w:lang w:val="zh-TW" w:eastAsia="zh-TW"/>
        </w:rPr>
      </w:pPr>
      <w:r>
        <w:rPr>
          <w:rFonts w:hint="eastAsia" w:ascii="宋体" w:hAnsi="宋体" w:eastAsia="宋体" w:cs="宋体"/>
          <w:kern w:val="0"/>
          <w:sz w:val="24"/>
          <w:szCs w:val="24"/>
          <w:lang w:val="zh-TW" w:eastAsia="zh-TW"/>
        </w:rPr>
        <w:t>一、</w:t>
      </w:r>
      <w:r>
        <w:rPr>
          <w:rFonts w:hint="eastAsia" w:ascii="宋体" w:hAnsi="宋体" w:eastAsia="宋体" w:cs="宋体"/>
          <w:kern w:val="0"/>
          <w:sz w:val="24"/>
          <w:szCs w:val="24"/>
          <w:lang w:val="zh-TW"/>
        </w:rPr>
        <w:t>设计</w:t>
      </w:r>
      <w:r>
        <w:rPr>
          <w:rFonts w:hint="eastAsia" w:ascii="宋体" w:hAnsi="宋体" w:eastAsia="宋体" w:cs="宋体"/>
          <w:kern w:val="0"/>
          <w:sz w:val="24"/>
          <w:szCs w:val="24"/>
          <w:lang w:val="zh-TW" w:eastAsia="zh-TW"/>
        </w:rPr>
        <w:t>基于工作过程的教学内容和教学方法</w:t>
      </w:r>
    </w:p>
    <w:p>
      <w:pPr>
        <w:pStyle w:val="6"/>
        <w:shd w:val="clear" w:color="auto" w:fill="FFFFFF"/>
        <w:spacing w:before="0" w:beforeAutospacing="0" w:after="0" w:afterAutospacing="0" w:line="400" w:lineRule="exact"/>
        <w:ind w:firstLine="422" w:firstLineChars="200"/>
        <w:jc w:val="both"/>
        <w:rPr>
          <w:b/>
          <w:sz w:val="21"/>
          <w:szCs w:val="21"/>
        </w:rPr>
      </w:pPr>
      <w:r>
        <w:rPr>
          <w:rFonts w:hint="eastAsia"/>
          <w:b/>
          <w:sz w:val="21"/>
          <w:szCs w:val="21"/>
        </w:rPr>
        <w:t>（一）教学内容与教学方法的总体设计</w:t>
      </w:r>
    </w:p>
    <w:p>
      <w:pPr>
        <w:spacing w:line="400" w:lineRule="exact"/>
        <w:ind w:firstLine="420" w:firstLineChars="200"/>
      </w:pPr>
      <w:r>
        <w:rPr>
          <w:rFonts w:hint="eastAsia"/>
        </w:rPr>
        <w:t>课程改革的第一个方面是设计基于工作过程的课程教学内容和教学方法，其总体思路是：首先，完整的招聘工作过程大致可以分成五大模块：准备、招募、甄选、录用和评价，因此可以设计同名的五大教学模快。通过对市面上主流招聘管理教材的反复研究、思考和提炼后，最终确定五大教学模块的知识与能力目标，再依据知识与能力目标确定课程的教学重点内容。第二，为了帮助学生深入理解和掌握这些重点内容，依据五大模块教学重点内容各自的性质和特点，进一步设计有针对性的教学方法，即：准备模块主要采用案例教学法；招募模块主要采用项目式教学法；甄选模块主要采用人才测评软件辅助教学法和情景模拟教学法；录用和评价模块主要采用案例教学法，如下表所示，同时各个教学模块都强化互动式教学。</w:t>
      </w:r>
    </w:p>
    <w:p>
      <w:pPr>
        <w:spacing w:line="500" w:lineRule="exact"/>
        <w:jc w:val="center"/>
        <w:rPr>
          <w:b/>
          <w:szCs w:val="21"/>
        </w:rPr>
      </w:pPr>
      <w:r>
        <w:rPr>
          <w:rFonts w:hint="eastAsia"/>
          <w:b/>
          <w:szCs w:val="21"/>
        </w:rPr>
        <w:t>基于工作过程的课程教学重点与教学方法一览表</w:t>
      </w:r>
    </w:p>
    <w:tbl>
      <w:tblPr>
        <w:tblStyle w:val="10"/>
        <w:tblW w:w="86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2680"/>
        <w:gridCol w:w="2473"/>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tcBorders>
              <w:top w:val="single" w:color="auto" w:sz="8" w:space="0"/>
              <w:left w:val="nil"/>
            </w:tcBorders>
            <w:shd w:val="clear" w:color="auto" w:fill="auto"/>
            <w:vAlign w:val="center"/>
          </w:tcPr>
          <w:p>
            <w:pPr>
              <w:jc w:val="center"/>
              <w:rPr>
                <w:szCs w:val="21"/>
              </w:rPr>
            </w:pPr>
            <w:r>
              <w:rPr>
                <w:rFonts w:hint="eastAsia"/>
                <w:szCs w:val="21"/>
              </w:rPr>
              <w:t>教学模块</w:t>
            </w:r>
          </w:p>
        </w:tc>
        <w:tc>
          <w:tcPr>
            <w:tcW w:w="2680" w:type="dxa"/>
            <w:tcBorders>
              <w:top w:val="single" w:color="auto" w:sz="8" w:space="0"/>
            </w:tcBorders>
            <w:shd w:val="clear" w:color="auto" w:fill="auto"/>
            <w:vAlign w:val="center"/>
          </w:tcPr>
          <w:p>
            <w:pPr>
              <w:jc w:val="center"/>
              <w:rPr>
                <w:szCs w:val="21"/>
              </w:rPr>
            </w:pPr>
            <w:r>
              <w:rPr>
                <w:rFonts w:hint="eastAsia"/>
                <w:szCs w:val="21"/>
              </w:rPr>
              <w:t>知识与能力目标</w:t>
            </w:r>
          </w:p>
        </w:tc>
        <w:tc>
          <w:tcPr>
            <w:tcW w:w="2473" w:type="dxa"/>
            <w:tcBorders>
              <w:top w:val="single" w:color="auto" w:sz="8" w:space="0"/>
            </w:tcBorders>
            <w:shd w:val="clear" w:color="auto" w:fill="auto"/>
            <w:vAlign w:val="center"/>
          </w:tcPr>
          <w:p>
            <w:pPr>
              <w:jc w:val="center"/>
              <w:rPr>
                <w:szCs w:val="21"/>
              </w:rPr>
            </w:pPr>
            <w:r>
              <w:rPr>
                <w:rFonts w:hint="eastAsia"/>
                <w:szCs w:val="21"/>
              </w:rPr>
              <w:t>教学重点内容</w:t>
            </w:r>
          </w:p>
        </w:tc>
        <w:tc>
          <w:tcPr>
            <w:tcW w:w="2356" w:type="dxa"/>
            <w:tcBorders>
              <w:top w:val="single" w:color="auto" w:sz="8" w:space="0"/>
              <w:right w:val="nil"/>
            </w:tcBorders>
            <w:shd w:val="clear" w:color="auto" w:fill="auto"/>
            <w:vAlign w:val="center"/>
          </w:tcPr>
          <w:p>
            <w:pPr>
              <w:jc w:val="center"/>
              <w:rPr>
                <w:szCs w:val="21"/>
              </w:rPr>
            </w:pPr>
            <w:r>
              <w:rPr>
                <w:rFonts w:hint="eastAsia"/>
                <w:szCs w:val="21"/>
              </w:rPr>
              <w:t>主要教学方法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103" w:type="dxa"/>
            <w:tcBorders>
              <w:left w:val="nil"/>
            </w:tcBorders>
            <w:shd w:val="clear" w:color="auto" w:fill="auto"/>
            <w:vAlign w:val="center"/>
          </w:tcPr>
          <w:p>
            <w:pPr>
              <w:jc w:val="center"/>
              <w:rPr>
                <w:szCs w:val="21"/>
              </w:rPr>
            </w:pPr>
            <w:r>
              <w:rPr>
                <w:rFonts w:hint="eastAsia"/>
                <w:szCs w:val="21"/>
              </w:rPr>
              <w:t>准备</w:t>
            </w:r>
          </w:p>
        </w:tc>
        <w:tc>
          <w:tcPr>
            <w:tcW w:w="2680" w:type="dxa"/>
            <w:shd w:val="clear" w:color="auto" w:fill="auto"/>
            <w:vAlign w:val="center"/>
          </w:tcPr>
          <w:p>
            <w:pPr>
              <w:jc w:val="center"/>
              <w:rPr>
                <w:szCs w:val="21"/>
              </w:rPr>
            </w:pPr>
            <w:r>
              <w:rPr>
                <w:rFonts w:hint="eastAsia"/>
                <w:szCs w:val="21"/>
              </w:rPr>
              <w:t>确定招聘需求</w:t>
            </w:r>
          </w:p>
        </w:tc>
        <w:tc>
          <w:tcPr>
            <w:tcW w:w="2473" w:type="dxa"/>
            <w:shd w:val="clear" w:color="auto" w:fill="auto"/>
            <w:vAlign w:val="center"/>
          </w:tcPr>
          <w:p>
            <w:pPr>
              <w:jc w:val="left"/>
              <w:rPr>
                <w:szCs w:val="21"/>
              </w:rPr>
            </w:pPr>
            <w:r>
              <w:t>（</w:t>
            </w:r>
            <w:r>
              <w:rPr>
                <w:rFonts w:hint="eastAsia"/>
              </w:rPr>
              <w:t>1</w:t>
            </w:r>
            <w:r>
              <w:t>）</w:t>
            </w:r>
            <w:r>
              <w:rPr>
                <w:rFonts w:hint="eastAsia"/>
                <w:szCs w:val="21"/>
              </w:rPr>
              <w:t>职位分析</w:t>
            </w:r>
          </w:p>
          <w:p>
            <w:pPr>
              <w:jc w:val="left"/>
              <w:rPr>
                <w:szCs w:val="21"/>
              </w:rPr>
            </w:pPr>
            <w:r>
              <w:t>（</w:t>
            </w:r>
            <w:r>
              <w:rPr>
                <w:rFonts w:hint="eastAsia"/>
              </w:rPr>
              <w:t>2</w:t>
            </w:r>
            <w:r>
              <w:t>）</w:t>
            </w:r>
            <w:r>
              <w:rPr>
                <w:rFonts w:hint="eastAsia"/>
                <w:szCs w:val="21"/>
              </w:rPr>
              <w:t>人力资源规划</w:t>
            </w:r>
          </w:p>
        </w:tc>
        <w:tc>
          <w:tcPr>
            <w:tcW w:w="2356" w:type="dxa"/>
            <w:tcBorders>
              <w:right w:val="nil"/>
            </w:tcBorders>
            <w:shd w:val="clear" w:color="auto" w:fill="auto"/>
            <w:vAlign w:val="center"/>
          </w:tcPr>
          <w:p>
            <w:pPr>
              <w:jc w:val="center"/>
              <w:rPr>
                <w:szCs w:val="21"/>
              </w:rPr>
            </w:pPr>
            <w:r>
              <w:rPr>
                <w:rFonts w:hint="eastAsia"/>
                <w:szCs w:val="21"/>
              </w:rPr>
              <w:t>案例教学法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tcBorders>
              <w:left w:val="nil"/>
            </w:tcBorders>
            <w:shd w:val="clear" w:color="auto" w:fill="auto"/>
            <w:vAlign w:val="center"/>
          </w:tcPr>
          <w:p>
            <w:pPr>
              <w:jc w:val="center"/>
              <w:rPr>
                <w:szCs w:val="21"/>
              </w:rPr>
            </w:pPr>
            <w:r>
              <w:rPr>
                <w:rFonts w:hint="eastAsia"/>
                <w:szCs w:val="21"/>
              </w:rPr>
              <w:t>招募</w:t>
            </w:r>
          </w:p>
        </w:tc>
        <w:tc>
          <w:tcPr>
            <w:tcW w:w="2680" w:type="dxa"/>
            <w:shd w:val="clear" w:color="auto" w:fill="auto"/>
            <w:vAlign w:val="center"/>
          </w:tcPr>
          <w:p>
            <w:pPr>
              <w:jc w:val="left"/>
              <w:rPr>
                <w:szCs w:val="21"/>
              </w:rPr>
            </w:pPr>
            <w:r>
              <w:t>（</w:t>
            </w:r>
            <w:r>
              <w:rPr>
                <w:rFonts w:hint="eastAsia"/>
              </w:rPr>
              <w:t>1</w:t>
            </w:r>
            <w:r>
              <w:t>）</w:t>
            </w:r>
            <w:r>
              <w:rPr>
                <w:rFonts w:hint="eastAsia"/>
                <w:szCs w:val="21"/>
              </w:rPr>
              <w:t>设计招聘申请表</w:t>
            </w:r>
          </w:p>
          <w:p>
            <w:pPr>
              <w:jc w:val="left"/>
              <w:rPr>
                <w:szCs w:val="21"/>
              </w:rPr>
            </w:pPr>
            <w:r>
              <w:t>（</w:t>
            </w:r>
            <w:r>
              <w:rPr>
                <w:rFonts w:hint="eastAsia"/>
              </w:rPr>
              <w:t>2</w:t>
            </w:r>
            <w:r>
              <w:t>）</w:t>
            </w:r>
            <w:r>
              <w:rPr>
                <w:rFonts w:hint="eastAsia"/>
                <w:szCs w:val="21"/>
              </w:rPr>
              <w:t>制定招聘计划</w:t>
            </w:r>
          </w:p>
          <w:p>
            <w:pPr>
              <w:jc w:val="left"/>
              <w:rPr>
                <w:szCs w:val="21"/>
              </w:rPr>
            </w:pPr>
            <w:r>
              <w:t>（</w:t>
            </w:r>
            <w:r>
              <w:rPr>
                <w:rFonts w:hint="eastAsia"/>
              </w:rPr>
              <w:t>3</w:t>
            </w:r>
            <w:r>
              <w:t>）</w:t>
            </w:r>
            <w:r>
              <w:rPr>
                <w:rFonts w:hint="eastAsia"/>
                <w:szCs w:val="21"/>
              </w:rPr>
              <w:t>设计招聘启事</w:t>
            </w:r>
          </w:p>
          <w:p>
            <w:pPr>
              <w:jc w:val="left"/>
              <w:rPr>
                <w:szCs w:val="21"/>
              </w:rPr>
            </w:pPr>
            <w:r>
              <w:t>（</w:t>
            </w:r>
            <w:r>
              <w:rPr>
                <w:rFonts w:hint="eastAsia"/>
              </w:rPr>
              <w:t>4</w:t>
            </w:r>
            <w:r>
              <w:t>）</w:t>
            </w:r>
            <w:r>
              <w:rPr>
                <w:rFonts w:hint="eastAsia"/>
                <w:szCs w:val="21"/>
              </w:rPr>
              <w:t>选择招聘渠道</w:t>
            </w:r>
          </w:p>
        </w:tc>
        <w:tc>
          <w:tcPr>
            <w:tcW w:w="2473" w:type="dxa"/>
            <w:shd w:val="clear" w:color="auto" w:fill="auto"/>
            <w:vAlign w:val="center"/>
          </w:tcPr>
          <w:p>
            <w:pPr>
              <w:jc w:val="left"/>
              <w:rPr>
                <w:szCs w:val="21"/>
              </w:rPr>
            </w:pPr>
            <w:r>
              <w:t>（</w:t>
            </w:r>
            <w:r>
              <w:rPr>
                <w:rFonts w:hint="eastAsia"/>
              </w:rPr>
              <w:t>1</w:t>
            </w:r>
            <w:r>
              <w:t>）</w:t>
            </w:r>
            <w:r>
              <w:rPr>
                <w:rFonts w:hint="eastAsia"/>
                <w:szCs w:val="21"/>
              </w:rPr>
              <w:t>招聘申请表的要素</w:t>
            </w:r>
          </w:p>
          <w:p>
            <w:pPr>
              <w:jc w:val="left"/>
              <w:rPr>
                <w:szCs w:val="21"/>
              </w:rPr>
            </w:pPr>
            <w:r>
              <w:t>（</w:t>
            </w:r>
            <w:r>
              <w:rPr>
                <w:rFonts w:hint="eastAsia"/>
              </w:rPr>
              <w:t>2</w:t>
            </w:r>
            <w:r>
              <w:t>）</w:t>
            </w:r>
            <w:r>
              <w:rPr>
                <w:rFonts w:hint="eastAsia"/>
                <w:szCs w:val="21"/>
              </w:rPr>
              <w:t>招聘计划的要素</w:t>
            </w:r>
          </w:p>
          <w:p>
            <w:pPr>
              <w:jc w:val="left"/>
              <w:rPr>
                <w:szCs w:val="21"/>
              </w:rPr>
            </w:pPr>
            <w:r>
              <w:t>（</w:t>
            </w:r>
            <w:r>
              <w:rPr>
                <w:rFonts w:hint="eastAsia"/>
              </w:rPr>
              <w:t>3</w:t>
            </w:r>
            <w:r>
              <w:t>）</w:t>
            </w:r>
            <w:r>
              <w:rPr>
                <w:rFonts w:hint="eastAsia"/>
                <w:szCs w:val="21"/>
              </w:rPr>
              <w:t>招聘启事的要素</w:t>
            </w:r>
          </w:p>
          <w:p>
            <w:pPr>
              <w:jc w:val="left"/>
              <w:rPr>
                <w:szCs w:val="21"/>
              </w:rPr>
            </w:pPr>
            <w:r>
              <w:t>（</w:t>
            </w:r>
            <w:r>
              <w:rPr>
                <w:rFonts w:hint="eastAsia"/>
              </w:rPr>
              <w:t>4</w:t>
            </w:r>
            <w:r>
              <w:t>）</w:t>
            </w:r>
            <w:r>
              <w:rPr>
                <w:rFonts w:hint="eastAsia"/>
                <w:szCs w:val="21"/>
              </w:rPr>
              <w:t>各种招聘渠道的适用性</w:t>
            </w:r>
          </w:p>
        </w:tc>
        <w:tc>
          <w:tcPr>
            <w:tcW w:w="2356" w:type="dxa"/>
            <w:tcBorders>
              <w:right w:val="nil"/>
            </w:tcBorders>
            <w:shd w:val="clear" w:color="auto" w:fill="auto"/>
            <w:vAlign w:val="center"/>
          </w:tcPr>
          <w:p>
            <w:pPr>
              <w:jc w:val="center"/>
              <w:rPr>
                <w:szCs w:val="21"/>
              </w:rPr>
            </w:pPr>
            <w:r>
              <w:rPr>
                <w:rFonts w:hint="eastAsia"/>
                <w:szCs w:val="21"/>
              </w:rPr>
              <w:t>项目式教学法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tcBorders>
              <w:left w:val="nil"/>
            </w:tcBorders>
            <w:shd w:val="clear" w:color="auto" w:fill="auto"/>
            <w:vAlign w:val="center"/>
          </w:tcPr>
          <w:p>
            <w:pPr>
              <w:jc w:val="center"/>
              <w:rPr>
                <w:szCs w:val="21"/>
              </w:rPr>
            </w:pPr>
            <w:r>
              <w:rPr>
                <w:rFonts w:hint="eastAsia"/>
                <w:szCs w:val="21"/>
              </w:rPr>
              <w:t>甄选</w:t>
            </w:r>
          </w:p>
        </w:tc>
        <w:tc>
          <w:tcPr>
            <w:tcW w:w="2680" w:type="dxa"/>
            <w:shd w:val="clear" w:color="auto" w:fill="auto"/>
            <w:vAlign w:val="center"/>
          </w:tcPr>
          <w:p>
            <w:pPr>
              <w:pStyle w:val="11"/>
              <w:spacing w:line="240" w:lineRule="auto"/>
              <w:ind w:firstLine="0" w:firstLineChars="0"/>
              <w:jc w:val="left"/>
              <w:rPr>
                <w:rFonts w:ascii="Times New Roman" w:hAnsi="Times New Roman"/>
                <w:szCs w:val="21"/>
              </w:rPr>
            </w:pPr>
            <w:r>
              <w:t>（</w:t>
            </w:r>
            <w:r>
              <w:rPr>
                <w:rFonts w:hint="eastAsia"/>
              </w:rPr>
              <w:t>1</w:t>
            </w:r>
            <w:r>
              <w:t>）</w:t>
            </w:r>
            <w:r>
              <w:rPr>
                <w:rFonts w:hint="eastAsia" w:ascii="Times New Roman" w:hAnsi="Times New Roman"/>
                <w:szCs w:val="21"/>
              </w:rPr>
              <w:t>选择甄选方法</w:t>
            </w:r>
          </w:p>
          <w:p>
            <w:pPr>
              <w:pStyle w:val="11"/>
              <w:spacing w:line="240" w:lineRule="auto"/>
              <w:ind w:firstLine="0" w:firstLineChars="0"/>
              <w:jc w:val="left"/>
              <w:rPr>
                <w:rFonts w:ascii="Times New Roman" w:hAnsi="Times New Roman"/>
                <w:szCs w:val="21"/>
              </w:rPr>
            </w:pPr>
            <w:r>
              <w:t>（</w:t>
            </w:r>
            <w:r>
              <w:rPr>
                <w:rFonts w:hint="eastAsia"/>
              </w:rPr>
              <w:t>2</w:t>
            </w:r>
            <w:r>
              <w:t>）</w:t>
            </w:r>
            <w:r>
              <w:rPr>
                <w:rFonts w:hint="eastAsia" w:ascii="Times New Roman" w:hAnsi="Times New Roman"/>
                <w:szCs w:val="21"/>
              </w:rPr>
              <w:t>准备与实施面试</w:t>
            </w:r>
          </w:p>
        </w:tc>
        <w:tc>
          <w:tcPr>
            <w:tcW w:w="2473" w:type="dxa"/>
            <w:shd w:val="clear" w:color="auto" w:fill="auto"/>
            <w:vAlign w:val="center"/>
          </w:tcPr>
          <w:p>
            <w:pPr>
              <w:jc w:val="left"/>
              <w:rPr>
                <w:szCs w:val="21"/>
              </w:rPr>
            </w:pPr>
            <w:r>
              <w:rPr>
                <w:rFonts w:hint="eastAsia"/>
                <w:szCs w:val="21"/>
              </w:rPr>
              <w:t>各种常见的甄选方法及其在招聘工作中的应用</w:t>
            </w:r>
          </w:p>
        </w:tc>
        <w:tc>
          <w:tcPr>
            <w:tcW w:w="2356" w:type="dxa"/>
            <w:tcBorders>
              <w:right w:val="nil"/>
            </w:tcBorders>
            <w:shd w:val="clear" w:color="auto" w:fill="auto"/>
            <w:vAlign w:val="center"/>
          </w:tcPr>
          <w:p>
            <w:pPr>
              <w:jc w:val="center"/>
              <w:rPr>
                <w:szCs w:val="21"/>
              </w:rPr>
            </w:pPr>
            <w:r>
              <w:t>（</w:t>
            </w:r>
            <w:r>
              <w:rPr>
                <w:rFonts w:hint="eastAsia"/>
              </w:rPr>
              <w:t>1</w:t>
            </w:r>
            <w:r>
              <w:t>）</w:t>
            </w:r>
            <w:r>
              <w:rPr>
                <w:rFonts w:hint="eastAsia"/>
                <w:szCs w:val="21"/>
              </w:rPr>
              <w:t>人才测评软件辅助教学法</w:t>
            </w:r>
          </w:p>
          <w:p>
            <w:pPr>
              <w:jc w:val="center"/>
              <w:rPr>
                <w:szCs w:val="21"/>
              </w:rPr>
            </w:pPr>
            <w:r>
              <w:t>（</w:t>
            </w:r>
            <w:r>
              <w:rPr>
                <w:rFonts w:hint="eastAsia"/>
              </w:rPr>
              <w:t>2</w:t>
            </w:r>
            <w:r>
              <w:t>）</w:t>
            </w:r>
            <w:r>
              <w:rPr>
                <w:rFonts w:hint="eastAsia"/>
                <w:szCs w:val="21"/>
              </w:rPr>
              <w:t>情景模拟教学法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tcBorders>
              <w:left w:val="nil"/>
            </w:tcBorders>
            <w:shd w:val="clear" w:color="auto" w:fill="auto"/>
            <w:vAlign w:val="center"/>
          </w:tcPr>
          <w:p>
            <w:pPr>
              <w:jc w:val="center"/>
              <w:rPr>
                <w:szCs w:val="21"/>
              </w:rPr>
            </w:pPr>
            <w:r>
              <w:rPr>
                <w:rFonts w:hint="eastAsia"/>
                <w:szCs w:val="21"/>
              </w:rPr>
              <w:t>录用</w:t>
            </w:r>
          </w:p>
        </w:tc>
        <w:tc>
          <w:tcPr>
            <w:tcW w:w="2680" w:type="dxa"/>
            <w:shd w:val="clear" w:color="auto" w:fill="auto"/>
            <w:vAlign w:val="center"/>
          </w:tcPr>
          <w:p>
            <w:pPr>
              <w:pStyle w:val="11"/>
              <w:spacing w:line="240" w:lineRule="auto"/>
              <w:ind w:firstLine="0" w:firstLineChars="0"/>
              <w:rPr>
                <w:rFonts w:ascii="Times New Roman" w:hAnsi="Times New Roman"/>
                <w:szCs w:val="21"/>
              </w:rPr>
            </w:pPr>
            <w:r>
              <w:t>（</w:t>
            </w:r>
            <w:r>
              <w:rPr>
                <w:rFonts w:hint="eastAsia"/>
              </w:rPr>
              <w:t>1</w:t>
            </w:r>
            <w:r>
              <w:t>）</w:t>
            </w:r>
            <w:r>
              <w:rPr>
                <w:rFonts w:hint="eastAsia" w:ascii="Times New Roman" w:hAnsi="Times New Roman"/>
                <w:szCs w:val="21"/>
              </w:rPr>
              <w:t>拟定录用与辞谢通知</w:t>
            </w:r>
          </w:p>
          <w:p>
            <w:pPr>
              <w:pStyle w:val="11"/>
              <w:spacing w:line="240" w:lineRule="auto"/>
              <w:ind w:firstLine="0" w:firstLineChars="0"/>
              <w:rPr>
                <w:rFonts w:ascii="Times New Roman" w:hAnsi="Times New Roman"/>
                <w:szCs w:val="21"/>
              </w:rPr>
            </w:pPr>
            <w:r>
              <w:t>（</w:t>
            </w:r>
            <w:r>
              <w:rPr>
                <w:rFonts w:hint="eastAsia"/>
              </w:rPr>
              <w:t>2</w:t>
            </w:r>
            <w:r>
              <w:t>）</w:t>
            </w:r>
            <w:r>
              <w:rPr>
                <w:rFonts w:hint="eastAsia" w:ascii="Times New Roman" w:hAnsi="Times New Roman"/>
                <w:szCs w:val="21"/>
              </w:rPr>
              <w:t>入职与签订劳动合同</w:t>
            </w:r>
          </w:p>
          <w:p>
            <w:pPr>
              <w:pStyle w:val="11"/>
              <w:spacing w:line="240" w:lineRule="auto"/>
              <w:ind w:firstLine="0" w:firstLineChars="0"/>
              <w:rPr>
                <w:rFonts w:ascii="Times New Roman" w:hAnsi="Times New Roman"/>
                <w:szCs w:val="21"/>
              </w:rPr>
            </w:pPr>
            <w:r>
              <w:t>（</w:t>
            </w:r>
            <w:r>
              <w:rPr>
                <w:rFonts w:hint="eastAsia"/>
              </w:rPr>
              <w:t>3</w:t>
            </w:r>
            <w:r>
              <w:t>）</w:t>
            </w:r>
            <w:r>
              <w:rPr>
                <w:rFonts w:hint="eastAsia" w:ascii="Times New Roman" w:hAnsi="Times New Roman"/>
                <w:szCs w:val="21"/>
              </w:rPr>
              <w:t>试用期管理与转正</w:t>
            </w:r>
          </w:p>
        </w:tc>
        <w:tc>
          <w:tcPr>
            <w:tcW w:w="2473" w:type="dxa"/>
            <w:shd w:val="clear" w:color="auto" w:fill="auto"/>
            <w:vAlign w:val="center"/>
          </w:tcPr>
          <w:p>
            <w:pPr>
              <w:pStyle w:val="11"/>
              <w:spacing w:line="240" w:lineRule="auto"/>
              <w:ind w:firstLine="0" w:firstLineChars="0"/>
              <w:jc w:val="left"/>
              <w:rPr>
                <w:rFonts w:ascii="Times New Roman" w:hAnsi="Times New Roman"/>
                <w:szCs w:val="21"/>
              </w:rPr>
            </w:pPr>
            <w:r>
              <w:t>（</w:t>
            </w:r>
            <w:r>
              <w:rPr>
                <w:rFonts w:hint="eastAsia"/>
              </w:rPr>
              <w:t>1</w:t>
            </w:r>
            <w:r>
              <w:t>）</w:t>
            </w:r>
            <w:r>
              <w:rPr>
                <w:rFonts w:hint="eastAsia" w:ascii="Times New Roman" w:hAnsi="Times New Roman"/>
                <w:szCs w:val="21"/>
              </w:rPr>
              <w:t>录用与辞谢通知的要素</w:t>
            </w:r>
          </w:p>
          <w:p>
            <w:pPr>
              <w:pStyle w:val="11"/>
              <w:spacing w:line="240" w:lineRule="auto"/>
              <w:ind w:firstLine="0" w:firstLineChars="0"/>
              <w:jc w:val="left"/>
              <w:rPr>
                <w:rFonts w:ascii="Times New Roman" w:hAnsi="Times New Roman"/>
                <w:szCs w:val="21"/>
              </w:rPr>
            </w:pPr>
            <w:r>
              <w:t>（</w:t>
            </w:r>
            <w:r>
              <w:rPr>
                <w:rFonts w:hint="eastAsia"/>
              </w:rPr>
              <w:t>2</w:t>
            </w:r>
            <w:r>
              <w:t>）</w:t>
            </w:r>
            <w:r>
              <w:rPr>
                <w:rFonts w:hint="eastAsia" w:ascii="Times New Roman" w:hAnsi="Times New Roman"/>
                <w:szCs w:val="21"/>
              </w:rPr>
              <w:t>劳动合同的要素</w:t>
            </w:r>
          </w:p>
          <w:p>
            <w:pPr>
              <w:pStyle w:val="11"/>
              <w:spacing w:line="240" w:lineRule="auto"/>
              <w:ind w:firstLine="0" w:firstLineChars="0"/>
              <w:jc w:val="left"/>
              <w:rPr>
                <w:rFonts w:ascii="Times New Roman" w:hAnsi="Times New Roman"/>
                <w:szCs w:val="21"/>
              </w:rPr>
            </w:pPr>
            <w:r>
              <w:t>（</w:t>
            </w:r>
            <w:r>
              <w:rPr>
                <w:rFonts w:hint="eastAsia"/>
              </w:rPr>
              <w:t>3</w:t>
            </w:r>
            <w:r>
              <w:t>）</w:t>
            </w:r>
            <w:r>
              <w:rPr>
                <w:rFonts w:hint="eastAsia" w:ascii="Times New Roman" w:hAnsi="Times New Roman"/>
                <w:szCs w:val="21"/>
              </w:rPr>
              <w:t>试用期考核</w:t>
            </w:r>
          </w:p>
        </w:tc>
        <w:tc>
          <w:tcPr>
            <w:tcW w:w="2356" w:type="dxa"/>
            <w:tcBorders>
              <w:right w:val="nil"/>
            </w:tcBorders>
            <w:shd w:val="clear" w:color="auto" w:fill="auto"/>
            <w:vAlign w:val="center"/>
          </w:tcPr>
          <w:p>
            <w:pPr>
              <w:jc w:val="center"/>
              <w:rPr>
                <w:szCs w:val="21"/>
              </w:rPr>
            </w:pPr>
            <w:r>
              <w:rPr>
                <w:rFonts w:hint="eastAsia"/>
                <w:szCs w:val="21"/>
              </w:rPr>
              <w:t>案例教学法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tcBorders>
              <w:left w:val="nil"/>
              <w:bottom w:val="single" w:color="auto" w:sz="8" w:space="0"/>
            </w:tcBorders>
            <w:shd w:val="clear" w:color="auto" w:fill="auto"/>
            <w:vAlign w:val="center"/>
          </w:tcPr>
          <w:p>
            <w:pPr>
              <w:jc w:val="center"/>
              <w:rPr>
                <w:szCs w:val="21"/>
              </w:rPr>
            </w:pPr>
            <w:r>
              <w:rPr>
                <w:rFonts w:hint="eastAsia"/>
                <w:szCs w:val="21"/>
              </w:rPr>
              <w:t>评价</w:t>
            </w:r>
          </w:p>
        </w:tc>
        <w:tc>
          <w:tcPr>
            <w:tcW w:w="2680" w:type="dxa"/>
            <w:tcBorders>
              <w:bottom w:val="single" w:color="auto" w:sz="8" w:space="0"/>
            </w:tcBorders>
            <w:shd w:val="clear" w:color="auto" w:fill="auto"/>
            <w:vAlign w:val="center"/>
          </w:tcPr>
          <w:p>
            <w:pPr>
              <w:jc w:val="left"/>
              <w:rPr>
                <w:szCs w:val="21"/>
              </w:rPr>
            </w:pPr>
            <w:r>
              <w:rPr>
                <w:rFonts w:hint="eastAsia"/>
                <w:szCs w:val="21"/>
              </w:rPr>
              <w:t>招聘评价报告的撰写</w:t>
            </w:r>
          </w:p>
        </w:tc>
        <w:tc>
          <w:tcPr>
            <w:tcW w:w="2473" w:type="dxa"/>
            <w:tcBorders>
              <w:bottom w:val="single" w:color="auto" w:sz="8" w:space="0"/>
            </w:tcBorders>
            <w:shd w:val="clear" w:color="auto" w:fill="auto"/>
            <w:vAlign w:val="center"/>
          </w:tcPr>
          <w:p>
            <w:pPr>
              <w:pStyle w:val="11"/>
              <w:spacing w:line="240" w:lineRule="auto"/>
              <w:ind w:firstLine="0" w:firstLineChars="0"/>
              <w:jc w:val="left"/>
              <w:rPr>
                <w:rFonts w:ascii="Times New Roman" w:hAnsi="Times New Roman"/>
                <w:szCs w:val="21"/>
              </w:rPr>
            </w:pPr>
            <w:r>
              <w:t>（</w:t>
            </w:r>
            <w:r>
              <w:rPr>
                <w:rFonts w:hint="eastAsia"/>
              </w:rPr>
              <w:t>1</w:t>
            </w:r>
            <w:r>
              <w:t>）</w:t>
            </w:r>
            <w:r>
              <w:rPr>
                <w:rFonts w:hint="eastAsia" w:ascii="Times New Roman" w:hAnsi="Times New Roman"/>
                <w:szCs w:val="21"/>
              </w:rPr>
              <w:t>成本评价</w:t>
            </w:r>
          </w:p>
          <w:p>
            <w:pPr>
              <w:jc w:val="left"/>
              <w:rPr>
                <w:szCs w:val="21"/>
              </w:rPr>
            </w:pPr>
            <w:r>
              <w:t>（</w:t>
            </w:r>
            <w:r>
              <w:rPr>
                <w:rFonts w:hint="eastAsia"/>
              </w:rPr>
              <w:t>2</w:t>
            </w:r>
            <w:r>
              <w:t>）</w:t>
            </w:r>
            <w:r>
              <w:rPr>
                <w:rFonts w:hint="eastAsia"/>
                <w:szCs w:val="21"/>
              </w:rPr>
              <w:t>人员评价</w:t>
            </w:r>
          </w:p>
        </w:tc>
        <w:tc>
          <w:tcPr>
            <w:tcW w:w="2356" w:type="dxa"/>
            <w:tcBorders>
              <w:bottom w:val="single" w:color="auto" w:sz="8" w:space="0"/>
              <w:right w:val="nil"/>
            </w:tcBorders>
            <w:shd w:val="clear" w:color="auto" w:fill="auto"/>
            <w:vAlign w:val="center"/>
          </w:tcPr>
          <w:p>
            <w:pPr>
              <w:jc w:val="center"/>
              <w:rPr>
                <w:szCs w:val="21"/>
              </w:rPr>
            </w:pPr>
            <w:r>
              <w:rPr>
                <w:rFonts w:hint="eastAsia"/>
                <w:szCs w:val="21"/>
              </w:rPr>
              <w:t>案例教学法</w:t>
            </w:r>
          </w:p>
        </w:tc>
      </w:tr>
    </w:tbl>
    <w:p>
      <w:pPr>
        <w:spacing w:line="400" w:lineRule="exact"/>
        <w:ind w:firstLine="420" w:firstLineChars="200"/>
        <w:rPr>
          <w:b/>
          <w:szCs w:val="21"/>
        </w:rPr>
      </w:pPr>
      <w:r>
        <w:rPr>
          <w:rFonts w:hint="eastAsia"/>
        </w:rPr>
        <w:t>这些教学方式有助于将虚拟的工作情节植入到课程教学内容中，提高学生的学习热情和参与度，促进学生自主思考问题。通过实际操作与演练，有效地将课本上的理论与原理转化成学生可习得的知识和技能。除了项目式教学法需要结合课程考核方式进行实施，其他教学法的具体设计安排情况如下。</w:t>
      </w:r>
    </w:p>
    <w:p>
      <w:pPr>
        <w:spacing w:line="500" w:lineRule="exact"/>
        <w:ind w:firstLine="422" w:firstLineChars="200"/>
        <w:rPr>
          <w:b/>
          <w:szCs w:val="21"/>
        </w:rPr>
      </w:pPr>
      <w:r>
        <w:rPr>
          <w:rFonts w:hint="eastAsia"/>
          <w:b/>
          <w:szCs w:val="21"/>
        </w:rPr>
        <w:t>（二）案例教学引发学生思考</w:t>
      </w:r>
    </w:p>
    <w:p>
      <w:pPr>
        <w:spacing w:line="400" w:lineRule="exact"/>
        <w:ind w:firstLine="420" w:firstLineChars="200"/>
      </w:pPr>
      <w:r>
        <w:rPr>
          <w:rFonts w:hint="eastAsia"/>
        </w:rPr>
        <w:t>招聘课程实践性、应用性强的特点决定了课程的教学内容必须紧密联系实际，因此在理论知识点的讲授过程中，需要坚持结合最新的前沿、动态和鲜活生动案例进行授课。这依赖于教师对学科与实践工作中的新发展和新问题的高度关注。这才能够在教学过程中引用大量最新的招聘案例，如笔者在授课过程中使用的案例有：“招商银行劝退风波（2016年）”，“美团奇葩的招聘条件（2017年）”，“小米校招风波（2017年）”，“2018年联想校园招聘创新方案”，“电视剧《猎场》中不负责任的猎头（2018年）”等等。选择学生熟悉的知名企业实际案例能很好地引发学生的思考，激发学生的学习兴趣，使他们深刻地体会到课程的实用性和重要性。同时通过人力资源管理工作者在案例中成功或失败的经验教训，使学生充分认识到从事招聘工作必须具备公平、公正、懂法、守礼等专业素养，专业素养的缺失有可能给自己、招聘工作甚至整个企业带来极为惨重的损失。这就使学生对人力资源管理招聘相关工作有了更清晰、更深刻地理解。</w:t>
      </w:r>
    </w:p>
    <w:p>
      <w:pPr>
        <w:spacing w:line="500" w:lineRule="exact"/>
        <w:ind w:firstLine="422" w:firstLineChars="200"/>
        <w:rPr>
          <w:b/>
          <w:szCs w:val="21"/>
        </w:rPr>
      </w:pPr>
      <w:r>
        <w:rPr>
          <w:rFonts w:hint="eastAsia"/>
          <w:b/>
          <w:szCs w:val="21"/>
        </w:rPr>
        <w:t>（三）人才测评软件辅助教学提升学习兴趣</w:t>
      </w:r>
    </w:p>
    <w:p>
      <w:pPr>
        <w:spacing w:line="400" w:lineRule="exact"/>
        <w:ind w:firstLine="420" w:firstLineChars="200"/>
      </w:pPr>
      <w:r>
        <w:rPr>
          <w:rFonts w:hint="eastAsia"/>
        </w:rPr>
        <w:t>《员工招聘与甄选》课程的主要内容一是招聘，二是甄选。甄选即人才测评。现代人才测评技术充分利用了计算机与互联网技术实现了飞跃，使人才测评相关工作更便捷、更精准、更高效。本门课程紧跟时代的发展，在讲授人才测评技术之一的“心理测验技术”时，使用了第三方人才测评机构诺姆四达公司的产品 “华瑞人才在线测评教学系统软件”，要求学生利用人才测评软件对自我个性、智力、能力、职业倾向等进行评价。学生通过软件操作与自我评价更好地理解和掌握了心理测验技术的实施条件和运用方法，同时也更清楚、更客观地认识和评价了自身特点和优缺点，对未来的职业选择和职业发展提供了比较可靠的参考和依据。</w:t>
      </w:r>
    </w:p>
    <w:p>
      <w:pPr>
        <w:spacing w:line="400" w:lineRule="exact"/>
        <w:ind w:firstLine="422" w:firstLineChars="200"/>
        <w:rPr>
          <w:b/>
          <w:szCs w:val="21"/>
        </w:rPr>
      </w:pPr>
      <w:r>
        <w:rPr>
          <w:rFonts w:hint="eastAsia"/>
          <w:b/>
          <w:szCs w:val="21"/>
        </w:rPr>
        <w:t>（四）情景模拟教学提高学生学习参与度</w:t>
      </w:r>
    </w:p>
    <w:p>
      <w:pPr>
        <w:spacing w:line="400" w:lineRule="exact"/>
        <w:ind w:firstLine="420" w:firstLineChars="200"/>
      </w:pPr>
      <w:r>
        <w:rPr>
          <w:rFonts w:hint="eastAsia"/>
        </w:rPr>
        <w:t>甄选环节中的评价中心技术和面试两种人才测评技术非常适合采用</w:t>
      </w:r>
      <w:r>
        <w:t>情景模拟教学法。</w:t>
      </w:r>
      <w:r>
        <w:rPr>
          <w:rFonts w:hint="eastAsia"/>
        </w:rPr>
        <w:t xml:space="preserve">具体来说，在介绍和讲授无领导小组讨论、角色扮演、公文筐测试等评价中心技术以及行为面试等相关内容时，可以将学生分成两组：一组担任考官，另一组担任候选人。然后模拟真实的工作情景，设计考题进行人才测评。在完成一轮情景模拟之后，学生再进行角色互换，由之前担任考官的学生担任候选人，之前担任候选人的学生担任考官，进行第二轮情景模拟。全部完成后，由学生和教师分别进行总结和点评。通过模拟真实的工作情景，可以让学生体验和学习评价中心技术和面试两种人才测评技术的实施条件、运用方法和相关技巧。学生作为候选人学习和掌握了评价中心技术和面试的相关技巧，又作为考官理解和掌握了人才评价的原理和方法，对于学生未来就业参加用人单位的人才选拔具有重要的现实意义。  </w:t>
      </w:r>
    </w:p>
    <w:p>
      <w:pPr>
        <w:spacing w:line="500" w:lineRule="exact"/>
        <w:ind w:firstLine="422" w:firstLineChars="200"/>
        <w:rPr>
          <w:b/>
          <w:szCs w:val="21"/>
        </w:rPr>
      </w:pPr>
      <w:r>
        <w:rPr>
          <w:rFonts w:hint="eastAsia"/>
          <w:b/>
          <w:szCs w:val="21"/>
        </w:rPr>
        <w:t>（五）互动式教学鼓励学生多想多说</w:t>
      </w:r>
    </w:p>
    <w:p>
      <w:pPr>
        <w:spacing w:line="400" w:lineRule="exact"/>
        <w:ind w:firstLine="420" w:firstLineChars="200"/>
        <w:rPr>
          <w:b/>
          <w:szCs w:val="21"/>
        </w:rPr>
      </w:pPr>
      <w:r>
        <w:rPr>
          <w:rFonts w:hint="eastAsia"/>
        </w:rPr>
        <w:t>在整个教学过程中，教师还需要积极开展互动式教学，鼓励学生多想多说。例如，对于适合学生思考和讨论的问题，教师应坚持鼓励学生先思考，主动发表自己的观点，然后教师再点评、总结这一方法；对课堂上的一些情景模拟训练，也要鼓励学生自己主动举手参加。在整个教学过程中，既要对积极参与课堂发言、课堂活动的学生提出表扬，还要细致观察学生的一言一行，对有闪光点的学生也应及时提出表扬。良好的师生互动能大大增强学生的自信心和主动性，激发学生的竞争意识，对提高学生的学习热情，对提升教学效果具有较好的作用。</w:t>
      </w:r>
    </w:p>
    <w:p>
      <w:pPr>
        <w:pStyle w:val="12"/>
        <w:keepNext w:val="0"/>
        <w:keepLines w:val="0"/>
        <w:spacing w:before="0" w:after="0" w:line="400" w:lineRule="exact"/>
        <w:ind w:firstLine="420"/>
        <w:rPr>
          <w:rFonts w:ascii="宋体" w:hAnsi="宋体" w:eastAsia="宋体" w:cs="宋体"/>
          <w:kern w:val="0"/>
          <w:sz w:val="24"/>
          <w:szCs w:val="24"/>
          <w:lang w:val="zh-TW" w:eastAsia="zh-TW"/>
        </w:rPr>
      </w:pPr>
      <w:r>
        <w:rPr>
          <w:rFonts w:hint="eastAsia" w:ascii="宋体" w:hAnsi="宋体" w:eastAsia="宋体" w:cs="宋体"/>
          <w:kern w:val="0"/>
          <w:sz w:val="24"/>
          <w:szCs w:val="24"/>
          <w:lang w:val="zh-TW" w:eastAsia="zh-TW"/>
        </w:rPr>
        <w:t>二、</w:t>
      </w:r>
      <w:r>
        <w:rPr>
          <w:rFonts w:hint="eastAsia" w:ascii="宋体" w:hAnsi="宋体" w:eastAsia="宋体" w:cs="宋体"/>
          <w:kern w:val="0"/>
          <w:sz w:val="24"/>
          <w:szCs w:val="24"/>
          <w:lang w:val="zh-TW"/>
        </w:rPr>
        <w:t>设计</w:t>
      </w:r>
      <w:r>
        <w:rPr>
          <w:rFonts w:hint="eastAsia" w:ascii="宋体" w:hAnsi="宋体" w:eastAsia="宋体" w:cs="宋体"/>
          <w:kern w:val="0"/>
          <w:sz w:val="24"/>
          <w:szCs w:val="24"/>
          <w:lang w:val="zh-TW" w:eastAsia="zh-TW"/>
        </w:rPr>
        <w:t>基于工作技能的考核方式</w:t>
      </w:r>
    </w:p>
    <w:p>
      <w:pPr>
        <w:spacing w:line="400" w:lineRule="exact"/>
        <w:ind w:firstLine="420" w:firstLineChars="200"/>
      </w:pPr>
      <w:r>
        <w:rPr>
          <w:rFonts w:hint="eastAsia"/>
        </w:rPr>
        <w:t>由于招聘的实践性、应用性很强，本课程可以采用项目式教学法设计基于工作技能的考核方式来完成阶段性考核与期末考核，通过布置给学生一个具体的仿真工作任务来考察学生对招聘过程中的重点知识和工作技能的掌握情况。</w:t>
      </w:r>
    </w:p>
    <w:p>
      <w:pPr>
        <w:spacing w:line="500" w:lineRule="exact"/>
        <w:ind w:firstLine="422" w:firstLineChars="200"/>
        <w:rPr>
          <w:b/>
          <w:szCs w:val="21"/>
        </w:rPr>
      </w:pPr>
      <w:r>
        <w:rPr>
          <w:rFonts w:hint="eastAsia"/>
          <w:b/>
          <w:szCs w:val="21"/>
        </w:rPr>
        <w:t>（一）阶段性考核</w:t>
      </w:r>
    </w:p>
    <w:p>
      <w:pPr>
        <w:spacing w:line="400" w:lineRule="exact"/>
        <w:ind w:firstLine="420" w:firstLineChars="200"/>
      </w:pPr>
      <w:r>
        <w:rPr>
          <w:rFonts w:hint="eastAsia"/>
        </w:rPr>
        <w:t>阶段性考核主要采用小型项目设计的形式来考察学生对重点知识和工作技能的掌握情况，共设计两次阶段性考核。第一次阶段性考核的考核内容是“设计招聘启事”。要求学生在自己感兴趣的行业里选择一个中小企业，为该企业撰写一份人力资源管理相关岗位的招聘启事。本次考核主要考察了学生对招聘启事构成要素、撰写注意事项、广告原则运用等知识点的掌握情况及文字表达能力的高低，着重锻炼学生起草、撰写招聘启事的工作技能。</w:t>
      </w:r>
    </w:p>
    <w:p>
      <w:pPr>
        <w:spacing w:line="400" w:lineRule="exact"/>
        <w:ind w:firstLine="420" w:firstLineChars="200"/>
      </w:pPr>
      <w:r>
        <w:rPr>
          <w:rFonts w:hint="eastAsia"/>
        </w:rPr>
        <w:t xml:space="preserve">第二次阶段考核的考核内容是“实习生简历撰写”。假定学生拟应聘指定的某个公司的人力资源管理实习生岗位，要求学生根据招聘启事撰写一份适合的简历。本次考核重点是考察学生对拟简历撰写规范、构成要素、布局与排版以及简历筛选方法等知识点的掌握情况，同时锻炼学生起草、撰写简历的相关技能，为学生下一步从事简历筛选工作打下基础，同时也服务于学生在未来求职和就业。 </w:t>
      </w:r>
    </w:p>
    <w:p>
      <w:pPr>
        <w:spacing w:line="500" w:lineRule="exact"/>
        <w:ind w:firstLine="422" w:firstLineChars="200"/>
        <w:rPr>
          <w:b/>
          <w:szCs w:val="21"/>
        </w:rPr>
      </w:pPr>
      <w:r>
        <w:rPr>
          <w:rFonts w:hint="eastAsia"/>
          <w:b/>
          <w:szCs w:val="21"/>
        </w:rPr>
        <w:t>（二）期末考核</w:t>
      </w:r>
    </w:p>
    <w:p>
      <w:pPr>
        <w:spacing w:line="400" w:lineRule="exact"/>
        <w:ind w:firstLine="420" w:firstLineChars="200"/>
      </w:pPr>
      <w:r>
        <w:rPr>
          <w:rFonts w:hint="eastAsia"/>
        </w:rPr>
        <w:t>期末考核抛弃传统的以考察知识为重点的笔试形式，采用大型项目设计的形式来考察学生学习情况，考核内容可以是“XX公司人力资源部某岗位招聘方案设计”，即要求根据课程所学的全部内容设计一套完整的招聘方案，具体内容包括：招聘计划设计、甄选方案设计、录用与辞谢设计三大环节。该考核方案将整个学期课程所学知识与企业一个完整的招聘工作过程紧密联系起来，考察了学生对招聘各个环节重难点的掌握情况，同时锻炼了学生的实际操作技能，为学生未来从事招聘相关岗位的工作奠定了较扎实的基础。</w:t>
      </w:r>
    </w:p>
    <w:p>
      <w:pPr>
        <w:spacing w:line="400" w:lineRule="exact"/>
        <w:ind w:firstLine="420" w:firstLineChars="200"/>
      </w:pPr>
      <w:r>
        <w:rPr>
          <w:rFonts w:hint="eastAsia"/>
        </w:rPr>
        <w:t>基于工作技能的考核方式，进一步帮助学生理清了本门课程的重难点，有助于学生深刻地理解招聘各个环节实际工作的核心任务及关键点，促使学生理论联系实际，学以致用，真正将课堂所学落到实处。</w:t>
      </w:r>
    </w:p>
    <w:p>
      <w:pPr>
        <w:pStyle w:val="12"/>
        <w:keepNext w:val="0"/>
        <w:keepLines w:val="0"/>
        <w:spacing w:before="0" w:after="0" w:line="400" w:lineRule="exact"/>
        <w:ind w:firstLine="420"/>
        <w:rPr>
          <w:rFonts w:ascii="宋体" w:hAnsi="宋体" w:eastAsia="宋体" w:cs="宋体"/>
          <w:kern w:val="0"/>
          <w:sz w:val="24"/>
          <w:szCs w:val="24"/>
          <w:lang w:val="zh-TW" w:eastAsia="zh-TW"/>
        </w:rPr>
      </w:pPr>
      <w:r>
        <w:rPr>
          <w:rFonts w:hint="eastAsia" w:ascii="宋体" w:hAnsi="宋体" w:eastAsia="宋体" w:cs="宋体"/>
          <w:kern w:val="0"/>
          <w:sz w:val="24"/>
          <w:szCs w:val="24"/>
          <w:lang w:val="zh-TW" w:eastAsia="zh-TW"/>
        </w:rPr>
        <w:t>三、</w:t>
      </w:r>
      <w:r>
        <w:rPr>
          <w:rFonts w:hint="eastAsia" w:ascii="宋体" w:hAnsi="宋体" w:eastAsia="宋体" w:cs="宋体"/>
          <w:kern w:val="0"/>
          <w:sz w:val="24"/>
          <w:szCs w:val="24"/>
          <w:lang w:val="zh-TW"/>
        </w:rPr>
        <w:t>加强满足</w:t>
      </w:r>
      <w:r>
        <w:rPr>
          <w:rFonts w:hint="eastAsia" w:ascii="宋体" w:hAnsi="宋体" w:eastAsia="宋体" w:cs="宋体"/>
          <w:kern w:val="0"/>
          <w:sz w:val="24"/>
          <w:szCs w:val="24"/>
          <w:lang w:val="zh-TW" w:eastAsia="zh-TW"/>
        </w:rPr>
        <w:t>学生需求</w:t>
      </w:r>
      <w:r>
        <w:rPr>
          <w:rFonts w:hint="eastAsia" w:ascii="宋体" w:hAnsi="宋体" w:eastAsia="宋体" w:cs="宋体"/>
          <w:kern w:val="0"/>
          <w:sz w:val="24"/>
          <w:szCs w:val="24"/>
          <w:lang w:val="zh-TW"/>
        </w:rPr>
        <w:t>的</w:t>
      </w:r>
      <w:r>
        <w:rPr>
          <w:rFonts w:hint="eastAsia" w:ascii="宋体" w:hAnsi="宋体" w:eastAsia="宋体" w:cs="宋体"/>
          <w:kern w:val="0"/>
          <w:sz w:val="24"/>
          <w:szCs w:val="24"/>
          <w:lang w:val="zh-TW" w:eastAsia="zh-TW"/>
        </w:rPr>
        <w:t>针对性辅导</w:t>
      </w:r>
    </w:p>
    <w:p>
      <w:pPr>
        <w:spacing w:line="400" w:lineRule="exact"/>
        <w:ind w:firstLine="420" w:firstLineChars="200"/>
      </w:pPr>
      <w:r>
        <w:rPr>
          <w:rFonts w:hint="eastAsia"/>
        </w:rPr>
        <w:t>除了课堂授课以外，在课下教师还可以加强满足学生需要的针对性辅导，一方面起到答疑解惑的目的，另一方面也可以了解学生需求，促进课程的不断调整和改进。</w:t>
      </w:r>
    </w:p>
    <w:p>
      <w:pPr>
        <w:spacing w:line="400" w:lineRule="exact"/>
        <w:ind w:firstLine="420" w:firstLineChars="200"/>
      </w:pPr>
      <w:r>
        <w:rPr>
          <w:rFonts w:hint="eastAsia"/>
        </w:rPr>
        <w:t>1. 在课间和课下与学生积极沟通，关心爱护学生，及时了解学生的思想动态和学业需求动态，督促学生学习；也可以设计小问卷调查学生对课程感受和期望，然后在课程内容设计时考虑学生的特点，尽可能贴近学生生活圈，满足学生的未来的实习、求职和就业的相关需求；</w:t>
      </w:r>
    </w:p>
    <w:p>
      <w:pPr>
        <w:spacing w:line="400" w:lineRule="exact"/>
        <w:ind w:firstLine="420" w:firstLineChars="200"/>
      </w:pPr>
      <w:r>
        <w:rPr>
          <w:rFonts w:hint="eastAsia"/>
        </w:rPr>
        <w:t>2. 进入班级微信群并和学生成为微信好友，对学生提出的个性化问题，无论是与课程相关还是无关的，都及时解答，进行针对性辅导。如有的学生对课程中的内容、案例、考核有疑问，有的学生对各类资格证书的考取有疑问，还有的学生对未来升学、就业有疑问，甚至在其他课程中的学习有疑问等等，教师都应不遗余力尽可能给出让学生满意的回答。深入的交流和互动有助于建立师生间的良好的信任关系，对提高教学质量也具有较好的促进作用。</w:t>
      </w:r>
    </w:p>
    <w:p>
      <w:pPr>
        <w:pStyle w:val="12"/>
        <w:keepNext w:val="0"/>
        <w:keepLines w:val="0"/>
        <w:spacing w:before="0" w:after="0" w:line="400" w:lineRule="exact"/>
        <w:ind w:firstLine="420"/>
        <w:rPr>
          <w:rFonts w:ascii="宋体" w:hAnsi="宋体" w:eastAsia="宋体" w:cs="宋体"/>
          <w:kern w:val="0"/>
          <w:sz w:val="24"/>
          <w:szCs w:val="24"/>
          <w:lang w:val="zh-TW" w:eastAsia="zh-TW"/>
        </w:rPr>
      </w:pPr>
      <w:r>
        <w:rPr>
          <w:rFonts w:hint="eastAsia" w:ascii="宋体" w:hAnsi="宋体" w:eastAsia="宋体" w:cs="宋体"/>
          <w:kern w:val="0"/>
          <w:sz w:val="24"/>
          <w:szCs w:val="24"/>
          <w:lang w:val="zh-TW" w:eastAsia="zh-TW"/>
        </w:rPr>
        <w:t>结语</w:t>
      </w:r>
    </w:p>
    <w:p>
      <w:pPr>
        <w:spacing w:line="400" w:lineRule="exact"/>
        <w:ind w:firstLine="420" w:firstLineChars="200"/>
      </w:pPr>
      <w:r>
        <w:rPr>
          <w:rFonts w:hint="eastAsia"/>
        </w:rPr>
        <w:t>《员工招聘与甄选》是人力资源管理专业的核心课程，具有很强的实践性和应用型。传统的侧重于理论知识讲解和讲授式的教学方法，很难适应时代的发展和应用型人才培养的需要。本文在教学内容、教学方法、考核方式等方面进行相应的改革和探索，具体来说：在坚持以学生需求为本的原则下，按照招聘工作的实际工作流程对课程进行改革研究，设计了基于工作过程的教学内容和教学方法，以及基于工作技能的考核方式，并按照学生需求实施针对性辅导。这些改革和探索具有以下优势：首先，教学内容紧密联系实际，案例鲜活生动，很好地反应了学科与实践工作中的新发展和新问题。其次，教学手段丰富多变，融合了课堂教学、案例教学、项目教学、情景模拟教学、人才测评软件辅助教学等多种手段，课堂气氛生动活泼。最后，阶段考核与期末考核均采用基于工作技能的考核，要求学生设计招聘实际工作中常见的工作方案，确保学生学以致用，较好地提升了学生的实际工作技能。</w:t>
      </w:r>
    </w:p>
    <w:p>
      <w:pPr>
        <w:rPr>
          <w:szCs w:val="21"/>
        </w:rPr>
      </w:pPr>
    </w:p>
    <w:p>
      <w:pPr>
        <w:spacing w:line="400" w:lineRule="exact"/>
        <w:rPr>
          <w:rFonts w:ascii="宋体" w:hAnsi="宋体" w:cs="宋体"/>
          <w:b/>
          <w:bCs/>
          <w:color w:val="000000"/>
          <w:szCs w:val="21"/>
          <w:u w:color="000000"/>
          <w:lang w:val="zh-TW" w:eastAsia="zh-TW"/>
        </w:rPr>
      </w:pPr>
      <w:r>
        <w:rPr>
          <w:rFonts w:hint="eastAsia" w:ascii="宋体" w:hAnsi="宋体" w:cs="宋体"/>
          <w:b/>
          <w:bCs/>
          <w:color w:val="000000"/>
          <w:szCs w:val="21"/>
          <w:u w:color="000000"/>
          <w:lang w:val="zh-TW" w:eastAsia="zh-TW"/>
        </w:rPr>
        <w:t>参考文献：</w:t>
      </w:r>
    </w:p>
    <w:p>
      <w:pPr>
        <w:widowControl/>
        <w:shd w:val="clear" w:color="auto" w:fill="FFFFFF"/>
        <w:spacing w:line="400" w:lineRule="exact"/>
        <w:jc w:val="left"/>
        <w:rPr>
          <w:rFonts w:cs="AdobeHeitiStd-Regular"/>
        </w:rPr>
      </w:pPr>
      <w:r>
        <w:rPr>
          <w:rFonts w:hint="eastAsia" w:cs="AdobeHeitiStd-Regular"/>
        </w:rPr>
        <w:t>［1］</w:t>
      </w:r>
      <w:r>
        <w:fldChar w:fldCharType="begin"/>
      </w:r>
      <w:r>
        <w:instrText xml:space="preserve"> HYPERLINK "http://kns.cnki.net/kns/popup/knetsearchNew.aspx?sdb=CJFQ&amp;sfield=%e4%bd%9c%e8%80%85&amp;skey=%e8%b5%b5%e5%bf%a0%e5%90%9b&amp;scode=26877277%3b37822849%3b" \t "knet" </w:instrText>
      </w:r>
      <w:r>
        <w:fldChar w:fldCharType="separate"/>
      </w:r>
      <w:r>
        <w:t>赵忠君</w:t>
      </w:r>
      <w:r>
        <w:fldChar w:fldCharType="end"/>
      </w:r>
      <w:r>
        <w:t>，</w:t>
      </w:r>
      <w:r>
        <w:fldChar w:fldCharType="begin"/>
      </w:r>
      <w:r>
        <w:instrText xml:space="preserve"> HYPERLINK "http://kns.cnki.net/kns/popup/knetsearchNew.aspx?sdb=CJFQ&amp;sfield=%e4%bd%9c%e8%80%85&amp;skey=%e6%9d%8e%e4%bd%b3%e6%ac%a3&amp;scode=26877277%3b37822849%3b" \t "knet" </w:instrText>
      </w:r>
      <w:r>
        <w:fldChar w:fldCharType="separate"/>
      </w:r>
      <w:r>
        <w:t>李佳欣</w:t>
      </w:r>
      <w:r>
        <w:fldChar w:fldCharType="end"/>
      </w:r>
      <w:r>
        <w:rPr>
          <w:rFonts w:hint="eastAsia" w:cs="AdobeHeitiStd-Regular"/>
        </w:rPr>
        <w:t>．</w:t>
      </w:r>
      <w:r>
        <w:fldChar w:fldCharType="begin"/>
      </w:r>
      <w:r>
        <w:instrText xml:space="preserve"> HYPERLINK "http://kns.cnki.net/kns/detail/detail.aspx?QueryID=9&amp;CurRec=2&amp;recid=&amp;FileName=LBJY201705014&amp;DbName=CJFDLAST2017&amp;DbCode=CJFQ&amp;yx=&amp;pr=&amp;URLID=" \t "_blank" </w:instrText>
      </w:r>
      <w:r>
        <w:fldChar w:fldCharType="separate"/>
      </w:r>
      <w:r>
        <w:rPr>
          <w:rFonts w:hint="eastAsia" w:cs="AdobeHeitiStd-Regular"/>
        </w:rPr>
        <w:t>游戏化学习在招聘与录用课程中的应用</w:t>
      </w:r>
      <w:r>
        <w:rPr>
          <w:rFonts w:hint="eastAsia" w:cs="AdobeHeitiStd-Regular"/>
        </w:rPr>
        <w:fldChar w:fldCharType="end"/>
      </w:r>
      <w:r>
        <w:rPr>
          <w:rFonts w:hint="eastAsia" w:cs="AdobeHeitiStd-Regular"/>
        </w:rPr>
        <w:t>［J］．宁波大学学报（教育科学版），2017，（9）：</w:t>
      </w:r>
      <w:r>
        <w:rPr>
          <w:rFonts w:cs="AdobeHeitiStd-Regular"/>
        </w:rPr>
        <w:t>67-71</w:t>
      </w:r>
      <w:r>
        <w:rPr>
          <w:rFonts w:hint="eastAsia" w:cs="AdobeHeitiStd-Regular"/>
        </w:rPr>
        <w:t>.</w:t>
      </w:r>
    </w:p>
    <w:p>
      <w:pPr>
        <w:widowControl/>
        <w:shd w:val="clear" w:color="auto" w:fill="FFFFFF"/>
        <w:spacing w:line="400" w:lineRule="exact"/>
        <w:jc w:val="left"/>
        <w:rPr>
          <w:rFonts w:cs="AdobeHeitiStd-Regular"/>
        </w:rPr>
      </w:pPr>
      <w:r>
        <w:rPr>
          <w:rFonts w:hint="eastAsia" w:cs="AdobeHeitiStd-Regular"/>
        </w:rPr>
        <w:t>［2］</w:t>
      </w:r>
      <w:r>
        <w:t>莫巧玲</w:t>
      </w:r>
      <w:r>
        <w:rPr>
          <w:rFonts w:hint="eastAsia" w:cs="AdobeHeitiStd-Regular"/>
        </w:rPr>
        <w:t>．</w:t>
      </w:r>
      <w:r>
        <w:rPr>
          <w:rFonts w:cs="AdobeHeitiStd-Regular"/>
        </w:rPr>
        <w:t>参与式教学法在《招聘与录用》实践教学中的应用</w:t>
      </w:r>
      <w:r>
        <w:rPr>
          <w:rFonts w:hint="eastAsia" w:cs="AdobeHeitiStd-Regular"/>
        </w:rPr>
        <w:t>［J］．教育现代化，2016，（6）：107-108.</w:t>
      </w:r>
    </w:p>
    <w:p>
      <w:pPr>
        <w:widowControl/>
        <w:shd w:val="clear" w:color="auto" w:fill="FFFFFF"/>
        <w:spacing w:line="400" w:lineRule="exact"/>
        <w:jc w:val="left"/>
        <w:rPr>
          <w:rFonts w:cs="AdobeHeitiStd-Regular"/>
        </w:rPr>
      </w:pPr>
      <w:r>
        <w:rPr>
          <w:rFonts w:hint="eastAsia" w:cs="AdobeHeitiStd-Regular"/>
        </w:rPr>
        <w:t>［3］房红，于嘉，贾欣宇．招聘与录用课程模拟实践教学环节的设计与应用［J］．河南科技学院学报，2013，（4）：122-124.</w:t>
      </w:r>
    </w:p>
    <w:p>
      <w:pPr>
        <w:widowControl/>
        <w:shd w:val="clear" w:color="auto" w:fill="FFFFFF"/>
        <w:spacing w:line="400" w:lineRule="exact"/>
        <w:jc w:val="left"/>
        <w:rPr>
          <w:rFonts w:cs="AdobeHeitiStd-Regular"/>
        </w:rPr>
      </w:pPr>
      <w:r>
        <w:rPr>
          <w:rFonts w:hint="eastAsia" w:cs="AdobeHeitiStd-Regular"/>
        </w:rPr>
        <w:t>［4］蔡雅萍</w:t>
      </w:r>
      <w:r>
        <w:rPr>
          <w:rFonts w:hint="eastAsia" w:ascii="宋体" w:hAnsi="宋体" w:cs="Arial"/>
          <w:kern w:val="0"/>
          <w:szCs w:val="21"/>
        </w:rPr>
        <w:t>．</w:t>
      </w:r>
      <w:r>
        <w:rPr>
          <w:rFonts w:hint="eastAsia" w:cs="AdobeHeitiStd-Regular"/>
        </w:rPr>
        <w:t>P&amp;T循环渐进式教学模式研究［J］．长春理工大学学报，2012，（5）：205-206，234.</w:t>
      </w:r>
    </w:p>
    <w:p>
      <w:pPr>
        <w:widowControl/>
        <w:shd w:val="clear" w:color="auto" w:fill="FFFFFF"/>
        <w:spacing w:line="400" w:lineRule="exact"/>
        <w:jc w:val="left"/>
        <w:rPr>
          <w:rFonts w:cs="AdobeHeitiStd-Regular"/>
        </w:rPr>
      </w:pPr>
      <w:r>
        <w:rPr>
          <w:rFonts w:hint="eastAsia" w:cs="AdobeHeitiStd-Regular"/>
        </w:rPr>
        <w:t>［5］历荣</w:t>
      </w:r>
      <w:r>
        <w:rPr>
          <w:rFonts w:hint="eastAsia" w:ascii="宋体" w:hAnsi="宋体" w:cs="Arial"/>
          <w:kern w:val="0"/>
          <w:szCs w:val="21"/>
        </w:rPr>
        <w:t>．</w:t>
      </w:r>
      <w:r>
        <w:rPr>
          <w:rFonts w:hint="eastAsia" w:cs="AdobeHeitiStd-Regular"/>
        </w:rPr>
        <w:t>高职员工招聘录用课程实践教学内容构建［J］．新疆职业大学学报，2015，（5）：17-19，42.</w:t>
      </w:r>
    </w:p>
    <w:p>
      <w:pPr>
        <w:widowControl/>
        <w:shd w:val="clear" w:color="auto" w:fill="FFFFFF"/>
        <w:spacing w:line="400" w:lineRule="exact"/>
        <w:jc w:val="left"/>
        <w:rPr>
          <w:rFonts w:cs="AdobeHeitiStd-Regular"/>
        </w:rPr>
      </w:pPr>
    </w:p>
    <w:p>
      <w:pPr>
        <w:widowControl/>
        <w:shd w:val="clear" w:color="auto" w:fill="FFFFFF"/>
        <w:spacing w:line="400" w:lineRule="exact"/>
        <w:jc w:val="left"/>
        <w:rPr>
          <w:rFonts w:cs="AdobeHeitiStd-Regular"/>
        </w:rPr>
      </w:pPr>
    </w:p>
    <w:p>
      <w:pPr>
        <w:widowControl/>
        <w:shd w:val="clear" w:color="auto" w:fill="FFFFFF"/>
        <w:spacing w:line="400" w:lineRule="exact"/>
        <w:jc w:val="left"/>
        <w:rPr>
          <w:rFonts w:cs="AdobeHeitiStd-Regular"/>
        </w:rPr>
      </w:pPr>
    </w:p>
    <w:p>
      <w:pPr>
        <w:widowControl/>
        <w:shd w:val="clear" w:color="auto" w:fill="FFFFFF"/>
        <w:spacing w:line="400" w:lineRule="exact"/>
        <w:jc w:val="left"/>
        <w:rPr>
          <w:rFonts w:cs="AdobeHeitiStd-Regular"/>
        </w:rPr>
      </w:pPr>
    </w:p>
    <w:p>
      <w:pPr>
        <w:widowControl/>
        <w:shd w:val="clear" w:color="auto" w:fill="FFFFFF"/>
        <w:spacing w:line="400" w:lineRule="exact"/>
        <w:jc w:val="left"/>
        <w:rPr>
          <w:rFonts w:cs="AdobeHeitiStd-Regular"/>
        </w:rPr>
      </w:pPr>
    </w:p>
    <w:p>
      <w:pPr>
        <w:widowControl/>
        <w:shd w:val="clear" w:color="auto" w:fill="FFFFFF"/>
        <w:spacing w:line="400" w:lineRule="exact"/>
        <w:jc w:val="left"/>
        <w:rPr>
          <w:rFonts w:cs="AdobeHeitiStd-Regular"/>
        </w:rPr>
      </w:pPr>
    </w:p>
    <w:p>
      <w:pPr>
        <w:widowControl/>
        <w:shd w:val="clear" w:color="auto" w:fill="FFFFFF"/>
        <w:spacing w:line="400" w:lineRule="exact"/>
        <w:jc w:val="left"/>
        <w:rPr>
          <w:rFonts w:cs="AdobeHeitiStd-Regular"/>
        </w:rPr>
      </w:pPr>
    </w:p>
    <w:p>
      <w:pPr>
        <w:widowControl/>
        <w:shd w:val="clear" w:color="auto" w:fill="FFFFFF"/>
        <w:spacing w:line="400" w:lineRule="exact"/>
        <w:jc w:val="left"/>
        <w:rPr>
          <w:rFonts w:cs="AdobeHeitiStd-Regular"/>
        </w:rPr>
      </w:pPr>
    </w:p>
    <w:p>
      <w:pPr>
        <w:widowControl/>
        <w:shd w:val="clear" w:color="auto" w:fill="FFFFFF"/>
        <w:spacing w:line="400" w:lineRule="exact"/>
        <w:jc w:val="left"/>
        <w:rPr>
          <w:rFonts w:cs="AdobeHeitiStd-Regular"/>
        </w:rPr>
      </w:pPr>
    </w:p>
    <w:p>
      <w:pPr>
        <w:widowControl/>
        <w:shd w:val="clear" w:color="auto" w:fill="FFFFFF"/>
        <w:spacing w:line="400" w:lineRule="exact"/>
        <w:jc w:val="left"/>
        <w:rPr>
          <w:rFonts w:cs="AdobeHeitiStd-Regular"/>
        </w:rPr>
      </w:pPr>
    </w:p>
    <w:p>
      <w:pPr>
        <w:jc w:val="center"/>
        <w:rPr>
          <w:rFonts w:ascii="黑体" w:hAnsi="黑体" w:eastAsia="黑体" w:cs="宋体"/>
          <w:sz w:val="32"/>
          <w:szCs w:val="32"/>
        </w:rPr>
      </w:pPr>
      <w:r>
        <w:rPr>
          <w:rFonts w:hint="eastAsia" w:ascii="黑体" w:hAnsi="黑体" w:eastAsia="黑体" w:cs="宋体"/>
          <w:sz w:val="32"/>
          <w:szCs w:val="32"/>
        </w:rPr>
        <w:t>《员工招聘与甄选》课程教学改革研究</w:t>
      </w:r>
      <w:r>
        <w:rPr>
          <w:rStyle w:val="9"/>
          <w:rFonts w:ascii="黑体" w:hAnsi="黑体" w:eastAsia="黑体" w:cs="宋体"/>
          <w:sz w:val="32"/>
          <w:szCs w:val="32"/>
        </w:rPr>
        <w:footnoteReference w:id="1" w:customMarkFollows="1"/>
        <w:sym w:font="Symbol" w:char="F020"/>
      </w:r>
    </w:p>
    <w:p>
      <w:pPr>
        <w:autoSpaceDE w:val="0"/>
        <w:autoSpaceDN w:val="0"/>
        <w:adjustRightInd w:val="0"/>
        <w:spacing w:line="300" w:lineRule="auto"/>
        <w:ind w:firstLine="422" w:firstLineChars="200"/>
        <w:rPr>
          <w:rFonts w:ascii="宋体" w:hAnsi="宋体" w:cs="KTJ0+ZJLHxn-2"/>
          <w:kern w:val="0"/>
          <w:szCs w:val="21"/>
        </w:rPr>
      </w:pPr>
      <w:r>
        <w:rPr>
          <w:rFonts w:ascii="宋体" w:hAnsi="宋体" w:cs="宋体"/>
          <w:b/>
          <w:bCs/>
        </w:rPr>
        <w:t>摘要：</w:t>
      </w:r>
      <w:r>
        <w:rPr>
          <w:rFonts w:hint="eastAsia"/>
        </w:rPr>
        <w:t>《员工招聘与甄选》课程是人力资源管理专业的一门专业核心课，课程具有很强的实践性、应用性</w:t>
      </w:r>
      <w:r>
        <w:rPr>
          <w:rFonts w:hint="eastAsia" w:ascii="宋体" w:hAnsi="宋体" w:cs="KTJ0+ZJLHxn-2"/>
          <w:kern w:val="0"/>
          <w:szCs w:val="21"/>
        </w:rPr>
        <w:t>。</w:t>
      </w:r>
      <w:r>
        <w:rPr>
          <w:rFonts w:hint="eastAsia"/>
        </w:rPr>
        <w:t>在坚持以学生需求为本的原则下，按照招聘工作的实际工作流程对课程进行改革：设计了基于工作过程的教学内容和教学方法，基于工作技能的考核方式，并按照学生需求实施针对性辅导。改革</w:t>
      </w:r>
      <w:r>
        <w:rPr>
          <w:rFonts w:hint="eastAsia" w:ascii="宋体" w:hAnsi="宋体" w:cs="KTJ0+ZJLHxn-2"/>
          <w:kern w:val="0"/>
          <w:szCs w:val="21"/>
        </w:rPr>
        <w:t>对提高课程的教学效果具有一定的现实意义。</w:t>
      </w:r>
    </w:p>
    <w:p>
      <w:pPr>
        <w:spacing w:line="300" w:lineRule="auto"/>
        <w:jc w:val="center"/>
        <w:rPr>
          <w:b/>
          <w:kern w:val="0"/>
          <w:sz w:val="24"/>
        </w:rPr>
      </w:pPr>
      <w:r>
        <w:rPr>
          <w:rFonts w:hint="eastAsia"/>
          <w:b/>
          <w:kern w:val="0"/>
          <w:sz w:val="24"/>
        </w:rPr>
        <w:t xml:space="preserve">Research </w:t>
      </w:r>
      <w:r>
        <w:rPr>
          <w:b/>
          <w:kern w:val="0"/>
          <w:sz w:val="24"/>
        </w:rPr>
        <w:t>on the</w:t>
      </w:r>
      <w:r>
        <w:rPr>
          <w:rFonts w:hint="eastAsia"/>
          <w:b/>
          <w:kern w:val="0"/>
          <w:sz w:val="24"/>
        </w:rPr>
        <w:t xml:space="preserve"> Teaching Reform of </w:t>
      </w:r>
      <w:r>
        <w:rPr>
          <w:b/>
          <w:kern w:val="0"/>
          <w:sz w:val="24"/>
        </w:rPr>
        <w:t>Staff</w:t>
      </w:r>
      <w:r>
        <w:rPr>
          <w:rFonts w:hint="eastAsia"/>
          <w:b/>
          <w:kern w:val="0"/>
          <w:sz w:val="24"/>
        </w:rPr>
        <w:t xml:space="preserve"> Recruitment and Selection Course</w:t>
      </w:r>
    </w:p>
    <w:p>
      <w:pPr>
        <w:spacing w:line="300" w:lineRule="auto"/>
        <w:jc w:val="center"/>
        <w:rPr>
          <w:kern w:val="0"/>
          <w:szCs w:val="21"/>
        </w:rPr>
      </w:pPr>
      <w:r>
        <w:rPr>
          <w:kern w:val="0"/>
          <w:szCs w:val="21"/>
        </w:rPr>
        <w:t>CAO Hui</w:t>
      </w:r>
      <w:r>
        <w:rPr>
          <w:rFonts w:hint="eastAsia"/>
          <w:kern w:val="0"/>
          <w:szCs w:val="21"/>
        </w:rPr>
        <w:t>, SHEN Xin</w:t>
      </w:r>
    </w:p>
    <w:p>
      <w:pPr>
        <w:spacing w:line="300" w:lineRule="auto"/>
        <w:jc w:val="center"/>
        <w:rPr>
          <w:kern w:val="0"/>
          <w:szCs w:val="21"/>
        </w:rPr>
      </w:pPr>
      <w:r>
        <w:rPr>
          <w:kern w:val="0"/>
          <w:szCs w:val="21"/>
        </w:rPr>
        <w:t xml:space="preserve"> (1</w:t>
      </w:r>
      <w:r>
        <w:rPr>
          <w:rFonts w:hint="eastAsia"/>
          <w:kern w:val="0"/>
          <w:szCs w:val="21"/>
        </w:rPr>
        <w:t xml:space="preserve">. </w:t>
      </w:r>
      <w:r>
        <w:rPr>
          <w:kern w:val="0"/>
          <w:szCs w:val="21"/>
        </w:rPr>
        <w:t>Beijing City University, Beijing 100083</w:t>
      </w:r>
      <w:r>
        <w:rPr>
          <w:rFonts w:hint="eastAsia"/>
          <w:kern w:val="0"/>
          <w:szCs w:val="21"/>
        </w:rPr>
        <w:t xml:space="preserve">; </w:t>
      </w:r>
    </w:p>
    <w:p>
      <w:pPr>
        <w:spacing w:line="300" w:lineRule="auto"/>
        <w:jc w:val="center"/>
        <w:rPr>
          <w:kern w:val="0"/>
          <w:szCs w:val="21"/>
        </w:rPr>
      </w:pPr>
      <w:r>
        <w:rPr>
          <w:rFonts w:hint="eastAsia"/>
          <w:kern w:val="0"/>
          <w:szCs w:val="21"/>
        </w:rPr>
        <w:t>2. School of Management</w:t>
      </w:r>
      <w:r>
        <w:rPr>
          <w:kern w:val="0"/>
          <w:szCs w:val="21"/>
        </w:rPr>
        <w:t xml:space="preserve">, </w:t>
      </w:r>
      <w:r>
        <w:rPr>
          <w:rFonts w:hint="eastAsia"/>
          <w:kern w:val="0"/>
          <w:szCs w:val="21"/>
        </w:rPr>
        <w:t xml:space="preserve">Shanxi Medical </w:t>
      </w:r>
      <w:r>
        <w:rPr>
          <w:kern w:val="0"/>
          <w:szCs w:val="21"/>
        </w:rPr>
        <w:t xml:space="preserve">University, </w:t>
      </w:r>
      <w:r>
        <w:rPr>
          <w:rFonts w:hint="eastAsia"/>
          <w:kern w:val="0"/>
          <w:szCs w:val="21"/>
        </w:rPr>
        <w:t>J</w:t>
      </w:r>
      <w:r>
        <w:rPr>
          <w:kern w:val="0"/>
          <w:szCs w:val="21"/>
        </w:rPr>
        <w:t>in</w:t>
      </w:r>
      <w:r>
        <w:rPr>
          <w:rFonts w:hint="eastAsia"/>
          <w:kern w:val="0"/>
          <w:szCs w:val="21"/>
        </w:rPr>
        <w:t>zhong,</w:t>
      </w:r>
      <w:r>
        <w:rPr>
          <w:kern w:val="0"/>
          <w:szCs w:val="21"/>
        </w:rPr>
        <w:t xml:space="preserve"> Shanxi </w:t>
      </w:r>
      <w:r>
        <w:rPr>
          <w:rFonts w:hint="eastAsia" w:ascii="宋体" w:hAnsi="宋体" w:cs="FZKTK--GBK1-00+ZJLHxv-10"/>
          <w:kern w:val="0"/>
          <w:szCs w:val="21"/>
        </w:rPr>
        <w:t>030600</w:t>
      </w:r>
      <w:r>
        <w:rPr>
          <w:kern w:val="0"/>
          <w:szCs w:val="21"/>
        </w:rPr>
        <w:t>)</w:t>
      </w:r>
    </w:p>
    <w:p>
      <w:pPr>
        <w:autoSpaceDE w:val="0"/>
        <w:autoSpaceDN w:val="0"/>
        <w:adjustRightInd w:val="0"/>
        <w:spacing w:line="300" w:lineRule="auto"/>
        <w:rPr>
          <w:kern w:val="0"/>
          <w:szCs w:val="21"/>
        </w:rPr>
      </w:pPr>
      <w:r>
        <w:rPr>
          <w:b/>
          <w:kern w:val="0"/>
          <w:szCs w:val="21"/>
        </w:rPr>
        <w:t>Abstract:</w:t>
      </w:r>
      <w:r>
        <w:rPr>
          <w:b/>
          <w:kern w:val="0"/>
          <w:sz w:val="28"/>
          <w:szCs w:val="28"/>
        </w:rPr>
        <w:t xml:space="preserve"> </w:t>
      </w:r>
      <w:r>
        <w:rPr>
          <w:rFonts w:hint="eastAsia"/>
          <w:kern w:val="0"/>
          <w:szCs w:val="21"/>
        </w:rPr>
        <w:t>As one of the core courses of the Human Resource Management major,</w:t>
      </w:r>
      <w:r>
        <w:rPr>
          <w:kern w:val="0"/>
          <w:szCs w:val="21"/>
        </w:rPr>
        <w:t xml:space="preserve"> Staff Recruitment and Selection </w:t>
      </w:r>
      <w:r>
        <w:rPr>
          <w:rFonts w:hint="eastAsia"/>
          <w:kern w:val="0"/>
          <w:szCs w:val="21"/>
        </w:rPr>
        <w:t>is</w:t>
      </w:r>
      <w:r>
        <w:t xml:space="preserve"> </w:t>
      </w:r>
      <w:r>
        <w:rPr>
          <w:rFonts w:hint="eastAsia"/>
          <w:kern w:val="0"/>
          <w:szCs w:val="21"/>
        </w:rPr>
        <w:t xml:space="preserve">of practice and </w:t>
      </w:r>
      <w:r>
        <w:rPr>
          <w:kern w:val="0"/>
          <w:szCs w:val="21"/>
        </w:rPr>
        <w:t>application</w:t>
      </w:r>
      <w:r>
        <w:rPr>
          <w:rFonts w:hint="eastAsia"/>
          <w:kern w:val="0"/>
          <w:szCs w:val="21"/>
        </w:rPr>
        <w:t>. Under the students</w:t>
      </w:r>
      <w:r>
        <w:rPr>
          <w:kern w:val="0"/>
          <w:szCs w:val="21"/>
        </w:rPr>
        <w:t>’</w:t>
      </w:r>
      <w:r>
        <w:rPr>
          <w:rFonts w:hint="eastAsia"/>
          <w:kern w:val="0"/>
          <w:szCs w:val="21"/>
        </w:rPr>
        <w:t xml:space="preserve"> needs-oriented principle, the</w:t>
      </w:r>
      <w:r>
        <w:rPr>
          <w:kern w:val="0"/>
          <w:szCs w:val="21"/>
        </w:rPr>
        <w:t xml:space="preserve"> </w:t>
      </w:r>
      <w:r>
        <w:rPr>
          <w:rFonts w:hint="eastAsia"/>
          <w:kern w:val="0"/>
          <w:szCs w:val="21"/>
        </w:rPr>
        <w:t>teaching reform</w:t>
      </w:r>
      <w:r>
        <w:rPr>
          <w:kern w:val="0"/>
          <w:szCs w:val="21"/>
        </w:rPr>
        <w:t xml:space="preserve"> </w:t>
      </w:r>
      <w:r>
        <w:rPr>
          <w:rFonts w:hint="eastAsia"/>
          <w:kern w:val="0"/>
          <w:szCs w:val="21"/>
        </w:rPr>
        <w:t xml:space="preserve">of </w:t>
      </w:r>
      <w:r>
        <w:rPr>
          <w:kern w:val="0"/>
          <w:szCs w:val="21"/>
        </w:rPr>
        <w:t>Staff Recruitment and Selection</w:t>
      </w:r>
      <w:r>
        <w:rPr>
          <w:rFonts w:hint="eastAsia"/>
          <w:kern w:val="0"/>
          <w:szCs w:val="21"/>
        </w:rPr>
        <w:t xml:space="preserve"> course has been carried out according to the</w:t>
      </w:r>
      <w:r>
        <w:rPr>
          <w:kern w:val="0"/>
          <w:szCs w:val="21"/>
        </w:rPr>
        <w:t> practical</w:t>
      </w:r>
      <w:r>
        <w:rPr>
          <w:rFonts w:hint="eastAsia"/>
          <w:kern w:val="0"/>
          <w:szCs w:val="21"/>
        </w:rPr>
        <w:t xml:space="preserve"> </w:t>
      </w:r>
      <w:r>
        <w:fldChar w:fldCharType="begin"/>
      </w:r>
      <w:r>
        <w:instrText xml:space="preserve"> HYPERLINK "javascript:showjdsw('jd_t','j_')" </w:instrText>
      </w:r>
      <w:r>
        <w:fldChar w:fldCharType="separate"/>
      </w:r>
      <w:r>
        <w:rPr>
          <w:rFonts w:hint="eastAsia"/>
          <w:kern w:val="0"/>
          <w:szCs w:val="21"/>
        </w:rPr>
        <w:t>process</w:t>
      </w:r>
      <w:r>
        <w:rPr>
          <w:rFonts w:hint="eastAsia"/>
          <w:kern w:val="0"/>
          <w:szCs w:val="21"/>
        </w:rPr>
        <w:fldChar w:fldCharType="end"/>
      </w:r>
      <w:r>
        <w:rPr>
          <w:rFonts w:hint="eastAsia"/>
          <w:kern w:val="0"/>
          <w:szCs w:val="21"/>
        </w:rPr>
        <w:t xml:space="preserve"> of r</w:t>
      </w:r>
      <w:r>
        <w:rPr>
          <w:kern w:val="0"/>
          <w:szCs w:val="21"/>
        </w:rPr>
        <w:t>ecruitment</w:t>
      </w:r>
      <w:r>
        <w:rPr>
          <w:rFonts w:hint="eastAsia"/>
          <w:kern w:val="0"/>
          <w:szCs w:val="21"/>
        </w:rPr>
        <w:t xml:space="preserve"> work, in which the </w:t>
      </w:r>
      <w:r>
        <w:rPr>
          <w:kern w:val="0"/>
          <w:szCs w:val="21"/>
        </w:rPr>
        <w:t>teaching content</w:t>
      </w:r>
      <w:r>
        <w:rPr>
          <w:rFonts w:hint="eastAsia"/>
          <w:kern w:val="0"/>
          <w:szCs w:val="21"/>
        </w:rPr>
        <w:t xml:space="preserve"> and </w:t>
      </w:r>
      <w:r>
        <w:rPr>
          <w:kern w:val="0"/>
          <w:szCs w:val="21"/>
        </w:rPr>
        <w:t>teaching method</w:t>
      </w:r>
      <w:r>
        <w:rPr>
          <w:rFonts w:hint="eastAsia"/>
          <w:kern w:val="0"/>
          <w:szCs w:val="21"/>
        </w:rPr>
        <w:t xml:space="preserve"> has been designed based on working</w:t>
      </w:r>
      <w:r>
        <w:rPr>
          <w:kern w:val="0"/>
          <w:szCs w:val="21"/>
        </w:rPr>
        <w:t xml:space="preserve"> process</w:t>
      </w:r>
      <w:r>
        <w:rPr>
          <w:rFonts w:hint="eastAsia"/>
          <w:kern w:val="0"/>
          <w:szCs w:val="21"/>
        </w:rPr>
        <w:t xml:space="preserve">, the assessment mode has been designed based on </w:t>
      </w:r>
      <w:r>
        <w:rPr>
          <w:kern w:val="0"/>
          <w:szCs w:val="21"/>
        </w:rPr>
        <w:t>working skills</w:t>
      </w:r>
      <w:r>
        <w:rPr>
          <w:rFonts w:hint="eastAsia"/>
          <w:kern w:val="0"/>
          <w:szCs w:val="21"/>
        </w:rPr>
        <w:t xml:space="preserve"> and the specific guidance has been carried out aiming at students</w:t>
      </w:r>
      <w:r>
        <w:rPr>
          <w:kern w:val="0"/>
          <w:szCs w:val="21"/>
        </w:rPr>
        <w:t>’</w:t>
      </w:r>
      <w:r>
        <w:rPr>
          <w:rFonts w:hint="eastAsia"/>
          <w:kern w:val="0"/>
          <w:szCs w:val="21"/>
        </w:rPr>
        <w:t xml:space="preserve"> need. </w:t>
      </w:r>
      <w:r>
        <w:rPr>
          <w:kern w:val="0"/>
          <w:szCs w:val="21"/>
        </w:rPr>
        <w:t>T</w:t>
      </w:r>
      <w:r>
        <w:rPr>
          <w:rFonts w:hint="eastAsia"/>
          <w:kern w:val="0"/>
          <w:szCs w:val="21"/>
        </w:rPr>
        <w:t>he reform has certain practical significance to the improvement of the teaching effect.</w:t>
      </w:r>
    </w:p>
    <w:p>
      <w:pPr>
        <w:autoSpaceDE w:val="0"/>
        <w:autoSpaceDN w:val="0"/>
        <w:adjustRightInd w:val="0"/>
        <w:spacing w:line="300" w:lineRule="auto"/>
        <w:rPr>
          <w:b/>
          <w:kern w:val="0"/>
          <w:szCs w:val="21"/>
        </w:rPr>
      </w:pPr>
      <w:r>
        <w:rPr>
          <w:b/>
          <w:kern w:val="0"/>
          <w:szCs w:val="21"/>
        </w:rPr>
        <w:t>Key word</w:t>
      </w:r>
      <w:r>
        <w:rPr>
          <w:rFonts w:hint="eastAsia"/>
          <w:b/>
          <w:kern w:val="0"/>
          <w:szCs w:val="21"/>
        </w:rPr>
        <w:t>s</w:t>
      </w:r>
      <w:r>
        <w:rPr>
          <w:b/>
          <w:kern w:val="0"/>
          <w:szCs w:val="21"/>
        </w:rPr>
        <w:t xml:space="preserve">: </w:t>
      </w:r>
      <w:r>
        <w:rPr>
          <w:rFonts w:hint="eastAsia"/>
          <w:kern w:val="0"/>
          <w:szCs w:val="21"/>
        </w:rPr>
        <w:t>s</w:t>
      </w:r>
      <w:r>
        <w:rPr>
          <w:kern w:val="0"/>
          <w:szCs w:val="21"/>
        </w:rPr>
        <w:t>taff</w:t>
      </w:r>
      <w:r>
        <w:rPr>
          <w:rFonts w:hint="eastAsia"/>
          <w:kern w:val="0"/>
          <w:szCs w:val="21"/>
        </w:rPr>
        <w:t xml:space="preserve"> r</w:t>
      </w:r>
      <w:r>
        <w:rPr>
          <w:kern w:val="0"/>
          <w:szCs w:val="21"/>
        </w:rPr>
        <w:t xml:space="preserve">ecruitment and </w:t>
      </w:r>
      <w:r>
        <w:rPr>
          <w:rFonts w:hint="eastAsia"/>
          <w:kern w:val="0"/>
          <w:szCs w:val="21"/>
        </w:rPr>
        <w:t>s</w:t>
      </w:r>
      <w:r>
        <w:rPr>
          <w:kern w:val="0"/>
          <w:szCs w:val="21"/>
        </w:rPr>
        <w:t xml:space="preserve">election; teaching content; teaching method; </w:t>
      </w:r>
      <w:r>
        <w:rPr>
          <w:rFonts w:hint="eastAsia"/>
          <w:kern w:val="0"/>
          <w:szCs w:val="21"/>
        </w:rPr>
        <w:t>assessment mode</w:t>
      </w:r>
    </w:p>
    <w:p/>
    <w:p/>
    <w:p>
      <w:pPr>
        <w:rPr>
          <w:rFonts w:hint="eastAsia" w:eastAsia="宋体"/>
          <w:lang w:val="en-US" w:eastAsia="zh-CN"/>
        </w:rPr>
      </w:pPr>
      <w:r>
        <w:rPr>
          <w:rFonts w:hint="eastAsia"/>
          <w:lang w:val="en-US" w:eastAsia="zh-CN"/>
        </w:rPr>
        <w:t xml:space="preserve"> （责任编辑：赵勇）</w:t>
      </w:r>
    </w:p>
    <w:sectPr>
      <w:footerReference r:id="rId4" w:type="default"/>
      <w:footnotePr>
        <w:numFmt w:val="decimalFullWidth"/>
      </w:footnote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dobeHeitiStd-Regular">
    <w:altName w:val="方正舒体"/>
    <w:panose1 w:val="00000000000000000000"/>
    <w:charset w:val="86"/>
    <w:family w:val="auto"/>
    <w:pitch w:val="default"/>
    <w:sig w:usb0="00000000" w:usb1="00000000" w:usb2="00000010" w:usb3="00000000" w:csb0="00040000" w:csb1="00000000"/>
  </w:font>
  <w:font w:name="KTJ0+ZJLHxn-2">
    <w:altName w:val="方正舒体"/>
    <w:panose1 w:val="00000000000000000000"/>
    <w:charset w:val="86"/>
    <w:family w:val="auto"/>
    <w:pitch w:val="default"/>
    <w:sig w:usb0="00000000" w:usb1="00000000" w:usb2="00000010" w:usb3="00000000" w:csb0="00040000" w:csb1="00000000"/>
  </w:font>
  <w:font w:name="FZKTK--GBK1-00+ZJLHxv-10">
    <w:altName w:val="方正舒体"/>
    <w:panose1 w:val="00000000000000000000"/>
    <w:charset w:val="86"/>
    <w:family w:val="auto"/>
    <w:pitch w:val="default"/>
    <w:sig w:usb0="00000000" w:usb1="00000000" w:usb2="00000010" w:usb3="00000000" w:csb0="00040000" w:csb1="00000000"/>
  </w:font>
  <w:font w:name="FZKTK--GBK1-00+ZJLHxo-4">
    <w:altName w:val="方正舒体"/>
    <w:panose1 w:val="00000000000000000000"/>
    <w:charset w:val="86"/>
    <w:family w:val="auto"/>
    <w:pitch w:val="default"/>
    <w:sig w:usb0="00000000" w:usb1="00000000" w:usb2="00000010" w:usb3="00000000" w:csb0="00040000" w:csb1="00000000"/>
  </w:font>
  <w:font w:name="E-BZ+ZJLHxn-1">
    <w:altName w:val="方正舒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9313289"/>
      <w:docPartObj>
        <w:docPartGallery w:val="AutoText"/>
      </w:docPartObj>
    </w:sdtPr>
    <w:sdtContent>
      <w:p>
        <w:pPr>
          <w:pStyle w:val="3"/>
          <w:jc w:val="center"/>
        </w:pPr>
        <w:r>
          <w:fldChar w:fldCharType="begin"/>
        </w:r>
        <w:r>
          <w:instrText xml:space="preserve">PAGE   \* MERGEFORMAT</w:instrText>
        </w:r>
        <w:r>
          <w:fldChar w:fldCharType="separate"/>
        </w:r>
        <w:r>
          <w:rPr>
            <w:lang w:val="zh-CN"/>
          </w:rPr>
          <w:t>5</w:t>
        </w:r>
        <w:r>
          <w:fldChar w:fldCharType="end"/>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pPr>
      <w:r>
        <w:rPr>
          <w:rStyle w:val="9"/>
        </w:rPr>
        <w:sym w:font="Symbol" w:char="F020"/>
      </w:r>
      <w:r>
        <w:t>收稿日期：2018年</w:t>
      </w:r>
      <w:r>
        <w:rPr>
          <w:rFonts w:hint="eastAsia"/>
          <w:lang w:val="en-US" w:eastAsia="zh-CN"/>
        </w:rPr>
        <w:t>09</w:t>
      </w:r>
      <w:r>
        <w:t>月</w:t>
      </w:r>
      <w:r>
        <w:rPr>
          <w:rFonts w:hint="eastAsia"/>
          <w:lang w:val="en-US" w:eastAsia="zh-CN"/>
        </w:rPr>
        <w:t>27</w:t>
      </w:r>
      <w:r>
        <w:t>日</w:t>
      </w:r>
    </w:p>
    <w:p>
      <w:pPr>
        <w:pStyle w:val="5"/>
      </w:pPr>
      <w:r>
        <w:t>作者简介：曹慧（1978</w:t>
      </w:r>
      <w:r>
        <w:rPr>
          <w:rFonts w:hint="eastAsia"/>
        </w:rPr>
        <w:t>—</w:t>
      </w:r>
      <w:r>
        <w:t>），女，山西临汾人，副教授，博士，研究方向：人力资源管理。</w:t>
      </w:r>
    </w:p>
    <w:p>
      <w:pPr>
        <w:pStyle w:val="5"/>
        <w:ind w:firstLine="900" w:firstLineChars="500"/>
      </w:pPr>
      <w:r>
        <w:rPr>
          <w:rFonts w:hint="eastAsia"/>
        </w:rPr>
        <w:t>申鑫（1997—），男，山西临汾人，</w:t>
      </w:r>
      <w:r>
        <w:rPr>
          <w:rFonts w:hint="eastAsia"/>
          <w:lang w:eastAsia="zh-CN"/>
        </w:rPr>
        <w:t>学士</w:t>
      </w:r>
      <w:r>
        <w:rPr>
          <w:rFonts w:hint="eastAsia"/>
        </w:rPr>
        <w:t>，研究方向：公共事业管理</w:t>
      </w:r>
      <w:r>
        <w:t>。</w:t>
      </w:r>
    </w:p>
  </w:footnote>
  <w:footnote w:id="1">
    <w:p>
      <w:pPr>
        <w:pStyle w:val="5"/>
        <w:ind w:firstLine="900" w:firstLineChars="500"/>
        <w:rPr>
          <w:rFonts w:hint="eastAsia" w:eastAsia="宋体"/>
          <w:lang w:val="en-US" w:eastAsia="zh-CN"/>
        </w:rPr>
      </w:pPr>
      <w:r>
        <w:rPr>
          <w:rFonts w:hint="eastAsia"/>
          <w:lang w:val="en-US" w:eastAsia="zh-CN"/>
        </w:rPr>
        <w:t xml:space="preserve"> </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FullWidth"/>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C2429D"/>
    <w:rsid w:val="000049CB"/>
    <w:rsid w:val="000112A3"/>
    <w:rsid w:val="00012597"/>
    <w:rsid w:val="000147CB"/>
    <w:rsid w:val="00026DF5"/>
    <w:rsid w:val="00052C8E"/>
    <w:rsid w:val="000545AA"/>
    <w:rsid w:val="00073942"/>
    <w:rsid w:val="00077A75"/>
    <w:rsid w:val="00086C60"/>
    <w:rsid w:val="000C417B"/>
    <w:rsid w:val="000C7393"/>
    <w:rsid w:val="000E0258"/>
    <w:rsid w:val="000E5E30"/>
    <w:rsid w:val="000F5A4F"/>
    <w:rsid w:val="0010105C"/>
    <w:rsid w:val="00113ACF"/>
    <w:rsid w:val="001206D2"/>
    <w:rsid w:val="00130993"/>
    <w:rsid w:val="0014359E"/>
    <w:rsid w:val="00151935"/>
    <w:rsid w:val="001542A3"/>
    <w:rsid w:val="00162553"/>
    <w:rsid w:val="00163FE0"/>
    <w:rsid w:val="00170247"/>
    <w:rsid w:val="00187FD7"/>
    <w:rsid w:val="001B152C"/>
    <w:rsid w:val="001C0A5E"/>
    <w:rsid w:val="001C1C8D"/>
    <w:rsid w:val="0021286D"/>
    <w:rsid w:val="00217E74"/>
    <w:rsid w:val="00232DCB"/>
    <w:rsid w:val="00251C48"/>
    <w:rsid w:val="002562E1"/>
    <w:rsid w:val="0029087E"/>
    <w:rsid w:val="002B7B57"/>
    <w:rsid w:val="00302AD0"/>
    <w:rsid w:val="0030365B"/>
    <w:rsid w:val="00311A00"/>
    <w:rsid w:val="00321CBD"/>
    <w:rsid w:val="00322B01"/>
    <w:rsid w:val="00331870"/>
    <w:rsid w:val="00356494"/>
    <w:rsid w:val="00361E09"/>
    <w:rsid w:val="00363F74"/>
    <w:rsid w:val="00365FC6"/>
    <w:rsid w:val="00370061"/>
    <w:rsid w:val="00382B0A"/>
    <w:rsid w:val="00383B56"/>
    <w:rsid w:val="00386856"/>
    <w:rsid w:val="003A1D1C"/>
    <w:rsid w:val="003A1D2D"/>
    <w:rsid w:val="0041755D"/>
    <w:rsid w:val="00462100"/>
    <w:rsid w:val="00482BB6"/>
    <w:rsid w:val="00491ED1"/>
    <w:rsid w:val="004B32FB"/>
    <w:rsid w:val="004F4493"/>
    <w:rsid w:val="00522228"/>
    <w:rsid w:val="00523A94"/>
    <w:rsid w:val="00534AA2"/>
    <w:rsid w:val="00540ABC"/>
    <w:rsid w:val="005658D9"/>
    <w:rsid w:val="00595C05"/>
    <w:rsid w:val="005A4677"/>
    <w:rsid w:val="005B2B4C"/>
    <w:rsid w:val="005C22C0"/>
    <w:rsid w:val="005D4ECA"/>
    <w:rsid w:val="005E5C73"/>
    <w:rsid w:val="005F3091"/>
    <w:rsid w:val="00643461"/>
    <w:rsid w:val="00646B85"/>
    <w:rsid w:val="00646F62"/>
    <w:rsid w:val="00675145"/>
    <w:rsid w:val="00676D1C"/>
    <w:rsid w:val="006A7AA7"/>
    <w:rsid w:val="006B44EF"/>
    <w:rsid w:val="006C2EB6"/>
    <w:rsid w:val="006C7AA6"/>
    <w:rsid w:val="006E19FA"/>
    <w:rsid w:val="006E6B16"/>
    <w:rsid w:val="00705FC8"/>
    <w:rsid w:val="00753442"/>
    <w:rsid w:val="00787AB1"/>
    <w:rsid w:val="00791DBE"/>
    <w:rsid w:val="007B3B78"/>
    <w:rsid w:val="007B637A"/>
    <w:rsid w:val="007C14C1"/>
    <w:rsid w:val="007D1034"/>
    <w:rsid w:val="007F3B48"/>
    <w:rsid w:val="00802835"/>
    <w:rsid w:val="0084095D"/>
    <w:rsid w:val="00843CD6"/>
    <w:rsid w:val="0085746E"/>
    <w:rsid w:val="00887D74"/>
    <w:rsid w:val="00893191"/>
    <w:rsid w:val="00894C8A"/>
    <w:rsid w:val="008A3C3F"/>
    <w:rsid w:val="008A7F7C"/>
    <w:rsid w:val="008B034B"/>
    <w:rsid w:val="008D23B4"/>
    <w:rsid w:val="008D4422"/>
    <w:rsid w:val="008E07EB"/>
    <w:rsid w:val="008E1D3D"/>
    <w:rsid w:val="00965539"/>
    <w:rsid w:val="0097736A"/>
    <w:rsid w:val="009A646F"/>
    <w:rsid w:val="009C6AC0"/>
    <w:rsid w:val="009C716B"/>
    <w:rsid w:val="009F656D"/>
    <w:rsid w:val="009F6FF2"/>
    <w:rsid w:val="009F7A72"/>
    <w:rsid w:val="00A05D73"/>
    <w:rsid w:val="00A0748B"/>
    <w:rsid w:val="00A20267"/>
    <w:rsid w:val="00A31443"/>
    <w:rsid w:val="00A54F30"/>
    <w:rsid w:val="00A72F7C"/>
    <w:rsid w:val="00A747E1"/>
    <w:rsid w:val="00A83EE5"/>
    <w:rsid w:val="00A9115B"/>
    <w:rsid w:val="00AA52E3"/>
    <w:rsid w:val="00AF1FB7"/>
    <w:rsid w:val="00B173F5"/>
    <w:rsid w:val="00B25DFA"/>
    <w:rsid w:val="00B308EA"/>
    <w:rsid w:val="00B55AA8"/>
    <w:rsid w:val="00B87087"/>
    <w:rsid w:val="00BC1FFD"/>
    <w:rsid w:val="00BC48DE"/>
    <w:rsid w:val="00BC7DD0"/>
    <w:rsid w:val="00BE037F"/>
    <w:rsid w:val="00BF6C35"/>
    <w:rsid w:val="00C2429D"/>
    <w:rsid w:val="00C419DD"/>
    <w:rsid w:val="00C80C5B"/>
    <w:rsid w:val="00CA3EEF"/>
    <w:rsid w:val="00CB5CD3"/>
    <w:rsid w:val="00CD2F1B"/>
    <w:rsid w:val="00CD5CDE"/>
    <w:rsid w:val="00CF3D2F"/>
    <w:rsid w:val="00D127CC"/>
    <w:rsid w:val="00D36704"/>
    <w:rsid w:val="00D46A5B"/>
    <w:rsid w:val="00D4764A"/>
    <w:rsid w:val="00D776D6"/>
    <w:rsid w:val="00D93B8E"/>
    <w:rsid w:val="00D94521"/>
    <w:rsid w:val="00D962A6"/>
    <w:rsid w:val="00DC1956"/>
    <w:rsid w:val="00DD3698"/>
    <w:rsid w:val="00DD64DB"/>
    <w:rsid w:val="00DE27FC"/>
    <w:rsid w:val="00E13F87"/>
    <w:rsid w:val="00E828D9"/>
    <w:rsid w:val="00EB0EE1"/>
    <w:rsid w:val="00EC629E"/>
    <w:rsid w:val="00EC6374"/>
    <w:rsid w:val="00ED204C"/>
    <w:rsid w:val="00EF33F7"/>
    <w:rsid w:val="00F079DD"/>
    <w:rsid w:val="00F13660"/>
    <w:rsid w:val="00F14DEA"/>
    <w:rsid w:val="00F21D9E"/>
    <w:rsid w:val="00F278D8"/>
    <w:rsid w:val="00F53F18"/>
    <w:rsid w:val="00F57A0F"/>
    <w:rsid w:val="00F67CE1"/>
    <w:rsid w:val="00F87B95"/>
    <w:rsid w:val="00FA4705"/>
    <w:rsid w:val="00FB0A6C"/>
    <w:rsid w:val="00FE09A8"/>
    <w:rsid w:val="00FF4682"/>
    <w:rsid w:val="00FF795D"/>
    <w:rsid w:val="32516820"/>
    <w:rsid w:val="42724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Hyperlink"/>
    <w:basedOn w:val="7"/>
    <w:unhideWhenUsed/>
    <w:uiPriority w:val="99"/>
    <w:rPr>
      <w:color w:val="0000FF"/>
      <w:u w:val="single"/>
    </w:rPr>
  </w:style>
  <w:style w:type="character" w:styleId="9">
    <w:name w:val="footnote reference"/>
    <w:basedOn w:val="7"/>
    <w:semiHidden/>
    <w:unhideWhenUsed/>
    <w:uiPriority w:val="99"/>
    <w:rPr>
      <w:vertAlign w:val="superscript"/>
    </w:rPr>
  </w:style>
  <w:style w:type="paragraph" w:styleId="11">
    <w:name w:val="List Paragraph"/>
    <w:basedOn w:val="1"/>
    <w:qFormat/>
    <w:uiPriority w:val="34"/>
    <w:pPr>
      <w:spacing w:line="400" w:lineRule="exact"/>
      <w:ind w:firstLine="420" w:firstLineChars="200"/>
    </w:pPr>
    <w:rPr>
      <w:rFonts w:ascii="Calibri" w:hAnsi="Calibri" w:cs="Calibri"/>
      <w:szCs w:val="22"/>
    </w:rPr>
  </w:style>
  <w:style w:type="paragraph" w:customStyle="1" w:styleId="12">
    <w:name w:val="小标题 2"/>
    <w:next w:val="1"/>
    <w:uiPriority w:val="0"/>
    <w:pPr>
      <w:keepNext/>
      <w:keepLines/>
      <w:widowControl w:val="0"/>
      <w:spacing w:before="260" w:after="260" w:line="416" w:lineRule="auto"/>
      <w:jc w:val="both"/>
      <w:outlineLvl w:val="1"/>
    </w:pPr>
    <w:rPr>
      <w:rFonts w:ascii="Cambria" w:hAnsi="Cambria" w:eastAsia="Cambria" w:cs="Cambria"/>
      <w:b/>
      <w:bCs/>
      <w:color w:val="000000"/>
      <w:kern w:val="2"/>
      <w:sz w:val="32"/>
      <w:szCs w:val="32"/>
      <w:u w:color="000000"/>
      <w:lang w:val="en-US" w:eastAsia="zh-CN" w:bidi="ar-SA"/>
    </w:rPr>
  </w:style>
  <w:style w:type="character" w:customStyle="1" w:styleId="13">
    <w:name w:val="页眉 Char"/>
    <w:basedOn w:val="7"/>
    <w:link w:val="4"/>
    <w:uiPriority w:val="99"/>
    <w:rPr>
      <w:kern w:val="2"/>
      <w:sz w:val="18"/>
      <w:szCs w:val="18"/>
    </w:rPr>
  </w:style>
  <w:style w:type="character" w:customStyle="1" w:styleId="14">
    <w:name w:val="页脚 Char"/>
    <w:basedOn w:val="7"/>
    <w:link w:val="3"/>
    <w:uiPriority w:val="99"/>
    <w:rPr>
      <w:kern w:val="2"/>
      <w:sz w:val="18"/>
      <w:szCs w:val="18"/>
    </w:rPr>
  </w:style>
  <w:style w:type="character" w:customStyle="1" w:styleId="15">
    <w:name w:val="批注框文本 Char"/>
    <w:basedOn w:val="7"/>
    <w:link w:val="2"/>
    <w:semiHidden/>
    <w:qFormat/>
    <w:uiPriority w:val="99"/>
    <w:rPr>
      <w:kern w:val="2"/>
      <w:sz w:val="18"/>
      <w:szCs w:val="18"/>
    </w:rPr>
  </w:style>
  <w:style w:type="character" w:customStyle="1" w:styleId="16">
    <w:name w:val="脚注文本 Char"/>
    <w:basedOn w:val="7"/>
    <w:link w:val="5"/>
    <w:uiPriority w:val="99"/>
    <w:rPr>
      <w:kern w:val="2"/>
      <w:sz w:val="18"/>
      <w:szCs w:val="18"/>
    </w:rPr>
  </w:style>
  <w:style w:type="character" w:customStyle="1" w:styleId="17">
    <w:name w:val="apple-converted-space"/>
    <w:basedOn w:val="7"/>
    <w:uiPriority w:val="0"/>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476E3D-3EDF-419B-9F73-FC1A52B708FF}">
  <ds:schemaRefs/>
</ds:datastoreItem>
</file>

<file path=docProps/app.xml><?xml version="1.0" encoding="utf-8"?>
<Properties xmlns="http://schemas.openxmlformats.org/officeDocument/2006/extended-properties" xmlns:vt="http://schemas.openxmlformats.org/officeDocument/2006/docPropsVTypes">
  <Template>Normal</Template>
  <Pages>6</Pages>
  <Words>1028</Words>
  <Characters>5866</Characters>
  <Lines>48</Lines>
  <Paragraphs>13</Paragraphs>
  <TotalTime>105</TotalTime>
  <ScaleCrop>false</ScaleCrop>
  <LinksUpToDate>false</LinksUpToDate>
  <CharactersWithSpaces>6881</CharactersWithSpaces>
  <Application>WPS Office_11.1.0.8213_F1E327BC-269C-435d-A152-05C5408002CA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2018-11-19T12:50:00Z</dcterms:created>
  <dc:creator>hui cao</dc:creator>
  <lastModifiedBy>HC</lastModifiedBy>
  <dcterms:modified xsi:type="dcterms:W3CDTF">2019-01-16T01:30:52Z</dcterms:modified>
  <revision>28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2052-11.1.0.8213</vt:lpwstr>
  </property>
</Properties>
</file>