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000000"/>
          <w:sz w:val="24"/>
        </w:rPr>
      </w:pPr>
      <w:r>
        <w:rPr>
          <w:rFonts w:hint="eastAsia" w:ascii="黑体" w:hAnsi="黑体" w:eastAsia="黑体"/>
          <w:sz w:val="32"/>
          <w:szCs w:val="32"/>
        </w:rPr>
        <w:t>应用型民办本科院校思政课实践教学模式探索</w:t>
      </w:r>
      <w:r>
        <w:rPr>
          <w:rStyle w:val="10"/>
          <w:rFonts w:ascii="黑体" w:hAnsi="黑体" w:eastAsia="黑体"/>
          <w:sz w:val="32"/>
          <w:szCs w:val="32"/>
        </w:rPr>
        <w:footnoteReference w:id="0"/>
      </w:r>
    </w:p>
    <w:p>
      <w:pPr>
        <w:widowControl/>
        <w:spacing w:line="440" w:lineRule="atLeast"/>
        <w:ind w:right="315"/>
        <w:jc w:val="center"/>
        <w:rPr>
          <w:color w:val="000000"/>
          <w:szCs w:val="21"/>
        </w:rPr>
      </w:pPr>
      <w:r>
        <w:rPr>
          <w:rFonts w:hint="eastAsia"/>
          <w:color w:val="000000"/>
          <w:szCs w:val="21"/>
        </w:rPr>
        <w:t>杨宗兴，郭曼</w:t>
      </w:r>
    </w:p>
    <w:p>
      <w:pPr>
        <w:widowControl/>
        <w:spacing w:line="440" w:lineRule="atLeast"/>
        <w:ind w:right="315"/>
        <w:jc w:val="center"/>
        <w:rPr>
          <w:rFonts w:hint="eastAsia"/>
          <w:color w:val="000000"/>
          <w:szCs w:val="21"/>
        </w:rPr>
      </w:pPr>
      <w:r>
        <w:rPr>
          <w:rFonts w:hint="eastAsia"/>
          <w:color w:val="000000"/>
          <w:szCs w:val="21"/>
        </w:rPr>
        <w:t>（广西教育学院法商学院，广西 南宁 530023；</w:t>
      </w:r>
    </w:p>
    <w:p>
      <w:pPr>
        <w:widowControl/>
        <w:spacing w:line="440" w:lineRule="atLeast"/>
        <w:ind w:right="315"/>
        <w:jc w:val="center"/>
        <w:rPr>
          <w:color w:val="000000"/>
          <w:szCs w:val="21"/>
        </w:rPr>
      </w:pPr>
      <w:r>
        <w:rPr>
          <w:rFonts w:hint="eastAsia"/>
          <w:color w:val="000000"/>
          <w:szCs w:val="21"/>
        </w:rPr>
        <w:t>广西外国语学院马克思主义学院，广西 南宁 530222 ）</w:t>
      </w:r>
    </w:p>
    <w:p>
      <w:pPr>
        <w:spacing w:line="400" w:lineRule="exact"/>
        <w:ind w:firstLine="422" w:firstLineChars="200"/>
        <w:rPr>
          <w:szCs w:val="21"/>
        </w:rPr>
      </w:pPr>
      <w:r>
        <w:rPr>
          <w:rFonts w:hint="eastAsia"/>
          <w:b/>
          <w:bCs/>
          <w:szCs w:val="21"/>
        </w:rPr>
        <w:t>摘要：</w:t>
      </w:r>
      <w:r>
        <w:rPr>
          <w:rFonts w:hint="eastAsia"/>
          <w:bCs/>
          <w:szCs w:val="21"/>
        </w:rPr>
        <w:t>应用型民办本科院校培养的是实践动手能力强的人才，但目前应用型民办本科院校单一性的资金来源、多元化的教师队伍和差异化的生源结构等因素制约着思政课实践教学。鉴于此，根据课题组的深入研究得出：应用型民办本科院校应以学生年级为基础，进行分层次实践教学；以《指南》为依据，围绕课程内容设计实践教学项目；以“四结合”为途径，开展不同的实践教学形式</w:t>
      </w:r>
      <w:r>
        <w:rPr>
          <w:rFonts w:hint="eastAsia"/>
          <w:szCs w:val="21"/>
        </w:rPr>
        <w:t>，提升育人效果。</w:t>
      </w:r>
    </w:p>
    <w:p>
      <w:pPr>
        <w:spacing w:line="360" w:lineRule="auto"/>
        <w:ind w:firstLine="316" w:firstLineChars="150"/>
        <w:rPr>
          <w:bCs/>
          <w:szCs w:val="21"/>
        </w:rPr>
      </w:pPr>
      <w:r>
        <w:rPr>
          <w:rFonts w:hint="eastAsia"/>
          <w:b/>
          <w:bCs/>
          <w:szCs w:val="21"/>
        </w:rPr>
        <w:t>关键词：</w:t>
      </w:r>
      <w:r>
        <w:rPr>
          <w:rFonts w:hint="eastAsia"/>
          <w:bCs/>
          <w:szCs w:val="21"/>
        </w:rPr>
        <w:t>民办本科院校；思政课；实践教学</w:t>
      </w:r>
    </w:p>
    <w:p>
      <w:pPr>
        <w:spacing w:line="360" w:lineRule="auto"/>
        <w:ind w:firstLine="422" w:firstLineChars="200"/>
        <w:rPr>
          <w:b/>
          <w:bCs/>
          <w:szCs w:val="21"/>
        </w:rPr>
      </w:pPr>
      <w:r>
        <w:rPr>
          <w:rFonts w:hint="eastAsia"/>
          <w:b/>
          <w:bCs/>
          <w:szCs w:val="21"/>
        </w:rPr>
        <w:t>中图分类号：</w:t>
      </w:r>
      <w:r>
        <w:rPr>
          <w:b/>
          <w:bCs/>
          <w:szCs w:val="21"/>
        </w:rPr>
        <w:t xml:space="preserve">G641          </w:t>
      </w:r>
      <w:r>
        <w:rPr>
          <w:rFonts w:hint="eastAsia"/>
          <w:b/>
          <w:bCs/>
          <w:szCs w:val="21"/>
        </w:rPr>
        <w:t>文献标识码：</w:t>
      </w:r>
      <w:r>
        <w:rPr>
          <w:b/>
          <w:bCs/>
          <w:szCs w:val="21"/>
        </w:rPr>
        <w:t xml:space="preserve">A         </w:t>
      </w:r>
      <w:r>
        <w:rPr>
          <w:rFonts w:hint="eastAsia"/>
          <w:b/>
          <w:bCs/>
          <w:szCs w:val="21"/>
        </w:rPr>
        <w:t>文章编号：</w:t>
      </w:r>
    </w:p>
    <w:p>
      <w:pPr>
        <w:spacing w:line="360" w:lineRule="auto"/>
        <w:jc w:val="center"/>
        <w:rPr>
          <w:sz w:val="24"/>
        </w:rPr>
      </w:pPr>
    </w:p>
    <w:p>
      <w:pPr>
        <w:spacing w:line="400" w:lineRule="exact"/>
        <w:ind w:firstLine="420" w:firstLineChars="200"/>
        <w:rPr>
          <w:szCs w:val="21"/>
        </w:rPr>
      </w:pPr>
      <w:r>
        <w:rPr>
          <w:rFonts w:hint="eastAsia"/>
          <w:szCs w:val="21"/>
        </w:rPr>
        <w:t>在高等教育大众化的背景下，应用型人才培养已经成为大部分民办本科院校的办学定位。应用型人才对学生的动手能力和创新实践能力有更高的要求，即要求学生具有将所学知识和技能运用到社会实践中的能力。针对应用型人才培养目标的需要，民办本科院校应强化思政课实践教学意识，从实际出发，扬长避短，探索出符合自身办学定位的思政课实践教学模式，提升育人效果，顺应国家对应用型人才培养的需求。广西外国语学院经过多年的改革和探索，形成了适合自身特点的思政课实践教学模式，并取得了一定成效。</w:t>
      </w:r>
    </w:p>
    <w:p>
      <w:pPr>
        <w:numPr>
          <w:ilvl w:val="0"/>
          <w:numId w:val="1"/>
        </w:numPr>
        <w:tabs>
          <w:tab w:val="left" w:pos="960"/>
        </w:tabs>
        <w:spacing w:line="400" w:lineRule="exact"/>
        <w:rPr>
          <w:b/>
          <w:sz w:val="24"/>
        </w:rPr>
      </w:pPr>
      <w:r>
        <w:rPr>
          <w:rFonts w:hint="eastAsia"/>
          <w:b/>
          <w:sz w:val="24"/>
        </w:rPr>
        <w:t>制约应用型民办本科院校思政课实践教学的因素</w:t>
      </w:r>
    </w:p>
    <w:p>
      <w:pPr>
        <w:spacing w:line="400" w:lineRule="exact"/>
        <w:ind w:firstLine="420" w:firstLineChars="200"/>
        <w:rPr>
          <w:szCs w:val="21"/>
        </w:rPr>
      </w:pPr>
      <w:r>
        <w:rPr>
          <w:rFonts w:hint="eastAsia"/>
          <w:szCs w:val="21"/>
        </w:rPr>
        <w:t>自“05方案”实施以来，贯彻落实实践教学成为高校思政课教学改革的重点。但应用型民办本科院校在办学机制、运行方式、师资队伍建设等方面与公办高校有所不同，实践教学除了要面临学生数量多、组织难度大以及安全、时间等问题之外，还受到其自身一些“民办”因素的制约。</w:t>
      </w:r>
    </w:p>
    <w:p>
      <w:pPr>
        <w:spacing w:line="400" w:lineRule="exact"/>
        <w:ind w:firstLine="316" w:firstLineChars="150"/>
        <w:rPr>
          <w:b/>
          <w:szCs w:val="21"/>
        </w:rPr>
      </w:pPr>
      <w:r>
        <w:rPr>
          <w:rFonts w:hint="eastAsia"/>
          <w:b/>
          <w:szCs w:val="21"/>
        </w:rPr>
        <w:t>（一）单一性的资金来源</w:t>
      </w:r>
    </w:p>
    <w:p>
      <w:pPr>
        <w:spacing w:line="400" w:lineRule="exact"/>
        <w:ind w:firstLine="420" w:firstLineChars="200"/>
        <w:rPr>
          <w:szCs w:val="21"/>
        </w:rPr>
      </w:pPr>
      <w:r>
        <w:rPr>
          <w:rFonts w:hint="eastAsia"/>
          <w:szCs w:val="21"/>
        </w:rPr>
        <w:t>经费是确保实践教学正常进行的基础，没有经费保障，实践教学很难进行。与公办高校不同，我国民办高校的教育经费主要来自于个人、企业办学投资和收取学生的学杂费，其中学杂费收入是民办高校资金来源的最重要组成部分，占办学经费收入的九成之多，而通过银行贷款、政府资助、社会捐赠等其他方式筹集的资金所占比重很小。这些通过较为单一的渠道筹集到的主要经费，不仅要用于校园的硬件建设，还要支付学校各类人员的开支，因此民办高校领导考虑更多的是在节约教学成本的基础上实现利益的最大化。思政课实践教学需要一定的经费投入，在校外，需要吃、住、行、参观门票等花费；在校内，也需要与活动挂钩的奖励费用等。此外，由于思想政治教育是一个长期过程，在学生身上教育效果体现的比较慢，这也导致民办高校领导投入到思政课教学的资金非常有限，极大影响了思政课实践教学的顺利开展。</w:t>
      </w:r>
    </w:p>
    <w:p>
      <w:pPr>
        <w:spacing w:line="400" w:lineRule="exact"/>
        <w:ind w:firstLine="316" w:firstLineChars="150"/>
        <w:rPr>
          <w:b/>
          <w:szCs w:val="21"/>
        </w:rPr>
      </w:pPr>
      <w:r>
        <w:rPr>
          <w:rFonts w:hint="eastAsia"/>
          <w:b/>
          <w:szCs w:val="21"/>
        </w:rPr>
        <w:t>（二）多元化的教师队伍</w:t>
      </w:r>
    </w:p>
    <w:p>
      <w:pPr>
        <w:spacing w:line="400" w:lineRule="exact"/>
        <w:ind w:firstLine="315" w:firstLineChars="150"/>
        <w:rPr>
          <w:szCs w:val="21"/>
        </w:rPr>
      </w:pPr>
      <w:r>
        <w:rPr>
          <w:rFonts w:hint="eastAsia"/>
          <w:szCs w:val="21"/>
        </w:rPr>
        <w:t>习近平总书记指出：“办好思想政治理论课关键在教师，关键在发挥教师的积极性、主动性、创造性”</w:t>
      </w:r>
      <w:r>
        <w:rPr>
          <w:rFonts w:hint="eastAsia" w:ascii="宋体" w:hAnsi="宋体"/>
          <w:szCs w:val="21"/>
          <w:vertAlign w:val="superscript"/>
        </w:rPr>
        <w:t>①</w:t>
      </w:r>
      <w:r>
        <w:rPr>
          <w:rFonts w:hint="eastAsia"/>
          <w:szCs w:val="21"/>
        </w:rPr>
        <w:t>。教师是思政课实践教学的参与者、组织者和指导者，他们的思想政治素质、理论功底、创新意识以及社会实践能力、组织能力、交往能力、理论联系实际的能力等决定着思政课实践教学成功与否。虽然经过几十年的发展，民办高校教师队伍得到了很大的改善，但是教师队伍流动性比较大、数量不足、整体水平偏低、结构不合理、继续教育不完善等方面的问题没有得到根本性的解决。这在很大程度上是与民办高校思政课教师队伍实行专职与兼职相结合的方式联系在一起的。专职教师主要来源于普通高校的退休教师和刚毕业的硕士生，由于退休教师精力有限与刚毕业的硕士生经验不足，致使民办高校思政课实践教学多流于形式。兼职教师一般是把到民办高校上课当成了副业，讲授完课程就要离开，更不会在思政课实践教学中投入过多的时间和精力，这使得思政课实践教学在一定程度上受到影响。</w:t>
      </w:r>
    </w:p>
    <w:p>
      <w:pPr>
        <w:spacing w:line="400" w:lineRule="exact"/>
        <w:ind w:firstLine="422" w:firstLineChars="200"/>
        <w:rPr>
          <w:b/>
          <w:szCs w:val="21"/>
        </w:rPr>
      </w:pPr>
      <w:r>
        <w:rPr>
          <w:rFonts w:hint="eastAsia"/>
          <w:b/>
          <w:szCs w:val="21"/>
        </w:rPr>
        <w:t>（三）差异化的生源结构</w:t>
      </w:r>
    </w:p>
    <w:p>
      <w:pPr>
        <w:spacing w:line="400" w:lineRule="exact"/>
        <w:ind w:firstLine="420" w:firstLineChars="200"/>
        <w:rPr>
          <w:szCs w:val="21"/>
        </w:rPr>
      </w:pPr>
      <w:r>
        <w:rPr>
          <w:rFonts w:hint="eastAsia"/>
          <w:szCs w:val="21"/>
        </w:rPr>
        <w:t>学生是思想政治教育的对象，高校思政课实践教学的目标是让学生将所学理论知识运用于日常生活，培养和提高其分析问题和解决实际问题的能力。可见，思政课实践教学离不开大学生的主动参与。大学生在参与中，才能理解理论、升华认识、培育情感、砥砺德行，从而使自己“受教育、长才干、做贡献”。但民办高校的学生与公办高校的学生相比，有其鲜明的特殊性。他们大部分对科学文化知识的钻研精神相对不足、学习能力和自律性较差、学习成绩不是很优秀、自卑感和自尊心强、思想压力大、功利色彩浓厚、缺乏良好的自我效能感。但是，民办高校的学生思想活跃、富有情感、善于言辞、乐于交际、个性张扬，相对于公办高校的学生而言，有较强的自主意识。因此，在进行思政课实践教学时，要求教师因地制宜、因势利导，根据民办高校学生特点的不同制定相应的教学方式方法。</w:t>
      </w:r>
    </w:p>
    <w:p>
      <w:pPr>
        <w:numPr>
          <w:ilvl w:val="0"/>
          <w:numId w:val="1"/>
        </w:numPr>
        <w:tabs>
          <w:tab w:val="left" w:pos="960"/>
        </w:tabs>
        <w:spacing w:line="400" w:lineRule="exact"/>
        <w:rPr>
          <w:b/>
          <w:sz w:val="24"/>
        </w:rPr>
      </w:pPr>
      <w:r>
        <w:rPr>
          <w:rFonts w:hint="eastAsia"/>
          <w:b/>
          <w:sz w:val="24"/>
        </w:rPr>
        <w:t>应用型民办本科院校思政课实践教学模式的构建</w:t>
      </w:r>
    </w:p>
    <w:p>
      <w:pPr>
        <w:spacing w:line="400" w:lineRule="exact"/>
        <w:ind w:firstLine="420" w:firstLineChars="200"/>
        <w:rPr>
          <w:szCs w:val="21"/>
        </w:rPr>
      </w:pPr>
      <w:r>
        <w:rPr>
          <w:rFonts w:hint="eastAsia"/>
          <w:szCs w:val="21"/>
        </w:rPr>
        <w:t>近年来，广西外国语学院把“进行分层次实践教学、围绕课程内容设计实践教学项目和开展不同的实践教学形式”有机结合起来，根据培养目标定位，构建了符合应用型人才特点的“三位一体”的实践教学模式，真正发挥了思政课在应用型人才培养中的重要作用。</w:t>
      </w:r>
    </w:p>
    <w:p>
      <w:pPr>
        <w:tabs>
          <w:tab w:val="left" w:pos="1200"/>
        </w:tabs>
        <w:spacing w:line="400" w:lineRule="exact"/>
        <w:ind w:firstLine="422" w:firstLineChars="200"/>
        <w:rPr>
          <w:b/>
          <w:szCs w:val="21"/>
        </w:rPr>
      </w:pPr>
      <w:r>
        <w:rPr>
          <w:rFonts w:hint="eastAsia"/>
          <w:b/>
          <w:szCs w:val="21"/>
        </w:rPr>
        <w:t>（一）以学生年级为基础，进行分层次实践教学</w:t>
      </w:r>
    </w:p>
    <w:p>
      <w:pPr>
        <w:tabs>
          <w:tab w:val="left" w:pos="1200"/>
        </w:tabs>
        <w:spacing w:line="400" w:lineRule="exact"/>
        <w:ind w:firstLine="420" w:firstLineChars="200"/>
        <w:rPr>
          <w:szCs w:val="21"/>
        </w:rPr>
      </w:pPr>
      <w:r>
        <w:rPr>
          <w:rFonts w:hint="eastAsia"/>
          <w:szCs w:val="21"/>
        </w:rPr>
        <w:t>根据大学生的生理、心理发展规律和在不同阶段的性格特点以及人生经历，应用型民办高校思政课实践教学在不同的年级应该采取不同的教学形式，循序渐进，逐步深入。大一学生刚刚跨进大学的校门，面对生活和学习环境的巨大变化，其思想、心理将产生前所未有的震动。他们关注自身，追求趋向于实际，好奇心强，兴趣广泛，关注自我、历史、时事等。针对这些特点，开展的实践活动要与他们的生活实际结合起来，比如制定大学计划、参观考察、演讲比赛和观看影片等，开阔他们的视野，增长他们的见识。大二学生基本适应了大学生活，形成了稳定的行为和心理，学习兴趣和学习热情高涨，开始积极寻找机会参加社会实践，想以此丰富课余生活并且提升自身能力。这时可以让学生阅读经典名著、观评影片或者组织学生到工厂、农村等地进行专题调查，以及做科普、法规等方面的义务宣传或做公共卫生、环境保护、交通协管等公益志愿者等，锻炼学生服务社会的能力。大三及以上的学生完全适应了大学生活的节奏，努力方向也明确了，他们渴望多接触社会，了解自己的专业状况及社会需求，并积累一些工作经验。这时，要指导学生阅读哲学、经济学书籍，指导他们撰写调查报告，指导他们选择社会热点、难点、疑点问题，进行理论联系实际的分析，培养学生的理论素养和刻苦钻研的精神。</w:t>
      </w:r>
    </w:p>
    <w:p>
      <w:pPr>
        <w:tabs>
          <w:tab w:val="left" w:pos="1200"/>
        </w:tabs>
        <w:spacing w:line="400" w:lineRule="exact"/>
        <w:ind w:firstLine="422" w:firstLineChars="200"/>
        <w:rPr>
          <w:b/>
          <w:szCs w:val="21"/>
        </w:rPr>
      </w:pPr>
      <w:r>
        <w:rPr>
          <w:rFonts w:hint="eastAsia"/>
          <w:b/>
          <w:szCs w:val="21"/>
        </w:rPr>
        <w:t>（二）以《指南》为依据，围绕课程内容设计实践教学项目</w:t>
      </w:r>
    </w:p>
    <w:p>
      <w:pPr>
        <w:tabs>
          <w:tab w:val="left" w:pos="1200"/>
        </w:tabs>
        <w:spacing w:line="400" w:lineRule="exact"/>
        <w:ind w:firstLine="420" w:firstLineChars="200"/>
        <w:rPr>
          <w:szCs w:val="21"/>
        </w:rPr>
      </w:pPr>
      <w:r>
        <w:rPr>
          <w:rFonts w:hint="eastAsia"/>
          <w:szCs w:val="21"/>
        </w:rPr>
        <w:t>思政课实践教学必须与高校思想政治理论课程内容密切相关，是对课程内容的深化、扩展和具体化，而不是一般的社会实践活动和专业实践教学。它既可以体现、注解和丰富课程教学内容，加深对课程教学内容的理解与把握；也可以紧密结合课堂讲授的理论观点，分析和解答社会上的热点问题，用理论指导实践。据此，我们根据“十二五”普通高等教育实践教学系列规划教材《思想政治理论课实践教学指导》，通过广泛的调查研究，结合民办高校的特点和办学定位的要求，编写了《民办高校思想政治理论课实践教学指南》（以下简称《指南》）。该《指南》的基本思路是对当前高校开设的五门思政课程的实践教学进行统筹规划、整体推进，遵循由易到难、由浅入深的原则，根据课程内容、教学目的和学生特点，以项目形式为主设计系列内容，在任课老师的指导下，采取多种形式开展实践活动。在实践的过程中，要求学生将实践成果完整地记录下来，并由老师对实践的效果给予评价，作为学生的实践成绩。如“思修”课程，我们设计的实践项目有八个：一是大学生活学习规划，二是“感悟青春、放飞理想”主题演讲比赛，三是参观爱国主义教育基地，四是“校园不文明”行为调查，五是组织观看《今日说法》录像，六是“法律在我身边”案例评析，七是“老人摔倒扶还是不扶”和“法不容情与法亦容情”的辩论赛，八是解读有关社会公德的公益广告。这里面的每一个实践项目都包含实践目的、实践要求、实践方案和实践评价等四项内容。把《指南》作为开展实践的依据，不但让实践教学能够紧紧围绕思政课程的主题，而且对实践活动进行了细化和规范化，使教师在具体操作的时候有章可循、一目了然。</w:t>
      </w:r>
    </w:p>
    <w:p>
      <w:pPr>
        <w:spacing w:line="400" w:lineRule="exact"/>
        <w:ind w:firstLine="422" w:firstLineChars="200"/>
        <w:rPr>
          <w:b/>
          <w:szCs w:val="21"/>
        </w:rPr>
      </w:pPr>
      <w:r>
        <w:rPr>
          <w:rFonts w:hint="eastAsia"/>
          <w:b/>
          <w:szCs w:val="21"/>
        </w:rPr>
        <w:t>（三）以“四结合”为途径，开展不同的实践教学形式</w:t>
      </w:r>
    </w:p>
    <w:p>
      <w:pPr>
        <w:spacing w:line="400" w:lineRule="exact"/>
        <w:ind w:firstLine="420" w:firstLineChars="200"/>
        <w:rPr>
          <w:szCs w:val="21"/>
        </w:rPr>
      </w:pPr>
      <w:r>
        <w:rPr>
          <w:rFonts w:hint="eastAsia"/>
          <w:szCs w:val="21"/>
        </w:rPr>
        <w:t>一是课内实践与课外实践相结合。把课内实践与课外实践结合起来，是思政课实践教学的基本方法，它不但使思政课实践教学变得容易进行，而且增加了思政课的吸引力，使更多的学生真心喜欢上这门课程，实现习近平总书记提出的“入脑入心”的要求。课内实践教学有明显的优势：能够调动学生参与课堂教学活动的积极性，使学生的学习方式由被动变为主动，由“要我学”变为“我要学”，充分发挥学生的主体性作用；能够深化学生对理论的认识和掌握，锻炼学生分析问题和解决问题的能力；能够节省大量的经费，组织起来又简单易行，不受空间和空间等其他因素的限制。课内实践的主要形式有课堂讨论、知识竞赛、观看影片、辩论演讲、案例教学、学生讲课等。课外实践主要是指利用学生的课余时间所开展的与思政课相关的实践教学活动。课外实践是课堂教学的延续和补充，其主要形式有名著阅读、政治学习、听取报告等。课外实践能够培养学生自我学习、自我教育和自我管理的能力，提高学生的整体素质。</w:t>
      </w:r>
    </w:p>
    <w:p>
      <w:pPr>
        <w:spacing w:line="400" w:lineRule="exact"/>
        <w:ind w:firstLine="420" w:firstLineChars="200"/>
        <w:rPr>
          <w:szCs w:val="21"/>
        </w:rPr>
      </w:pPr>
      <w:r>
        <w:rPr>
          <w:rFonts w:hint="eastAsia"/>
          <w:szCs w:val="21"/>
        </w:rPr>
        <w:t>二是集中实践与分散实践相结合。思政课是面向全校学生的公共课，具有人数多的特点，再加上经费的原因，很明显在校外采用整齐划一、步调一致的实践教学是不现实的。因此，在开展校外实践教学活动时，要灵活处理，把集中实践与分散实践相结合，既做到点面兼顾，又便于操作。集中实践主要是由教师根据思政课理论教学安排内容，统一组织学生进行参观考察和“三下乡”等活动。集中实践能够身临其境，对于促进大学生了解国情、民情、社情，增强社会责任感有重要作用。分散实践是指利用寒暑假，组织学生在自己的家乡进行志愿服务、参观访问、社会调查等活动。分散实践可以一人进行，也可以自愿结成小组进行，灵活性强，覆盖面大，时间充裕，效果很好。</w:t>
      </w:r>
    </w:p>
    <w:p>
      <w:pPr>
        <w:spacing w:line="400" w:lineRule="exact"/>
        <w:ind w:firstLine="420" w:firstLineChars="200"/>
        <w:rPr>
          <w:szCs w:val="21"/>
        </w:rPr>
      </w:pPr>
      <w:r>
        <w:rPr>
          <w:rFonts w:hint="eastAsia"/>
          <w:szCs w:val="21"/>
        </w:rPr>
        <w:t>三是校园实践与基地实践相结合。思政课实践教学不同于理论教学，对场所有非常高的要求。为了增加思政课的感染力和说服力，实现实践教学的目标，我校不仅为学生提供了丰富多彩的校园实践，而且还在社会上专门建立了思政课实践教学基地。校园实践是在思政课教师的指导下，学生参与由学校组织的在校园内所进行的文化活动。校园实践内容丰富多彩，形式生动活泼，既有教师指导的健康教育、法制教育和环境教育等主题教育活动，又有五四运动、建军节、建党节、国庆节、抗日战争胜利纪念日等重大节日的纪念和庆祝活动，还有各种各样的学生社团活动等。校园实践是一种隐性教育，能使学生潜移默化地受到熏陶和感染，具有事半功倍的效果，因此我校把校园实践作为大学生思政课实践教学的常态。基地实践是指高校与当地具有历史意义、现实意义、先进意义和教育意义的博物馆、纪念馆、遗址、监狱、法庭以及工厂企业等合作，建立相对固定的教学基地，定期或不定期地组织学生到这些基地进行考察学习，使学生在现场接受思想政治教育。基地实践形式直观、内容真实，容易给人留下深刻的印象，因此能够使学生在点滴的感受中接受教育，有助于学生将在课堂所学的理论内化为自己的思想理念并指导自己的行动。</w:t>
      </w:r>
    </w:p>
    <w:p>
      <w:pPr>
        <w:spacing w:line="400" w:lineRule="exact"/>
        <w:ind w:firstLine="420" w:firstLineChars="200"/>
        <w:rPr>
          <w:szCs w:val="21"/>
        </w:rPr>
      </w:pPr>
      <w:r>
        <w:rPr>
          <w:rFonts w:hint="eastAsia"/>
          <w:szCs w:val="21"/>
        </w:rPr>
        <w:t>四是虚拟实践与传统实践相结合。随着科学技术的发展，虚拟实践逐渐进入大众的日常生活。把虚拟实践引入思政课教学，是高校思政课与网络的主动对接和深度融合的结果。虚拟实践是对传统实践教学的拓展和深化，它拓宽了实践教学的领域，创新了社会实践的形式，有助于形成网上虚拟实践与网下社会实践互动、互补的新格局，进而推动思政课堂教学改革。</w:t>
      </w:r>
      <w:r>
        <w:rPr>
          <w:rFonts w:hint="eastAsia" w:ascii="宋体" w:hAnsi="宋体"/>
          <w:szCs w:val="21"/>
          <w:vertAlign w:val="superscript"/>
        </w:rPr>
        <w:t>②</w:t>
      </w:r>
      <w:r>
        <w:rPr>
          <w:rFonts w:hint="eastAsia"/>
          <w:szCs w:val="21"/>
        </w:rPr>
        <w:t>虚拟实践有仿真性、交互性、开放性、无限性和超时空性的特点，可以延长实践的时间，开拓实践的空间，扩大学生的参与面，弥补了传统实践教学的一些不足，是今后思政课实践教学的发展方向之一。虚拟实践的具体形式有网上阅读、网上案例分析、网上调研、网上体验等，激活了课堂教学，切实提升了思政课教学的实效性，深受学生喜爱。</w:t>
      </w:r>
    </w:p>
    <w:p>
      <w:pPr>
        <w:spacing w:line="400" w:lineRule="exact"/>
        <w:ind w:firstLine="482" w:firstLineChars="200"/>
        <w:rPr>
          <w:b/>
          <w:sz w:val="24"/>
        </w:rPr>
      </w:pPr>
      <w:r>
        <w:rPr>
          <w:rFonts w:hint="eastAsia"/>
          <w:b/>
          <w:sz w:val="24"/>
        </w:rPr>
        <w:t>三、初步显现的教学效果</w:t>
      </w:r>
    </w:p>
    <w:p>
      <w:pPr>
        <w:spacing w:line="400" w:lineRule="exact"/>
        <w:ind w:firstLine="420" w:firstLineChars="200"/>
        <w:rPr>
          <w:szCs w:val="21"/>
        </w:rPr>
      </w:pPr>
      <w:r>
        <w:rPr>
          <w:rFonts w:hint="eastAsia"/>
          <w:szCs w:val="21"/>
        </w:rPr>
        <w:t>广西外国语学院思政课实践教学模式不仅适应了应用型民办本科院校的办学定位，解决了思政课实践教学的难题，而且还取得了诸多教学成效。</w:t>
      </w:r>
    </w:p>
    <w:p>
      <w:pPr>
        <w:spacing w:line="400" w:lineRule="exact"/>
        <w:ind w:firstLine="480"/>
        <w:rPr>
          <w:b/>
          <w:szCs w:val="21"/>
        </w:rPr>
      </w:pPr>
      <w:r>
        <w:rPr>
          <w:rFonts w:hint="eastAsia"/>
          <w:b/>
          <w:szCs w:val="21"/>
        </w:rPr>
        <w:t>（一）激发了大学生对思政课的学习兴趣</w:t>
      </w:r>
    </w:p>
    <w:p>
      <w:pPr>
        <w:spacing w:line="400" w:lineRule="exact"/>
        <w:ind w:firstLine="480"/>
        <w:rPr>
          <w:szCs w:val="21"/>
        </w:rPr>
      </w:pPr>
      <w:r>
        <w:rPr>
          <w:rFonts w:hint="eastAsia"/>
          <w:szCs w:val="21"/>
        </w:rPr>
        <w:t>自我校实践教学模式实施以来，极大增强了思政课的吸引力和感染力，提高了学生的“出勤率、抬头率和点头率”，使思政课受欢迎程度越来越高，成为学生乐意上和喜欢上的课程。根据学生评教资料显示，每年我校思政课教师教学评价档次全部为优秀，平均分历年高于专业课教师的分数，充分证明了思政课已经成为学生真心喜欢的通识教育课程。</w:t>
      </w:r>
    </w:p>
    <w:p>
      <w:pPr>
        <w:spacing w:line="400" w:lineRule="exact"/>
        <w:ind w:firstLine="422" w:firstLineChars="200"/>
        <w:rPr>
          <w:b/>
          <w:szCs w:val="21"/>
        </w:rPr>
      </w:pPr>
      <w:r>
        <w:rPr>
          <w:rFonts w:hint="eastAsia"/>
          <w:b/>
          <w:szCs w:val="21"/>
        </w:rPr>
        <w:t>（二）坚定了大学生对中国特色社会主义的理想信念</w:t>
      </w:r>
    </w:p>
    <w:p>
      <w:pPr>
        <w:spacing w:line="400" w:lineRule="exact"/>
        <w:ind w:firstLine="420" w:firstLineChars="200"/>
        <w:rPr>
          <w:szCs w:val="21"/>
        </w:rPr>
      </w:pPr>
      <w:r>
        <w:rPr>
          <w:rFonts w:hint="eastAsia"/>
          <w:szCs w:val="21"/>
        </w:rPr>
        <w:t>通过实践活动的开展和对思想政治理论的系统学习，坚定了广大青年学生对中国特色社会主义和共产主义的理想信念。广大学生既明确了政治方向，形成了正确的是非、义利、荣辱观念，也培养了家国情怀和赤子之心，坚定了共产主义的远大理想</w:t>
      </w:r>
      <w:r>
        <w:rPr>
          <w:szCs w:val="21"/>
        </w:rPr>
        <w:t>和中国特色社会主义共同理想</w:t>
      </w:r>
      <w:r>
        <w:rPr>
          <w:rFonts w:hint="eastAsia"/>
          <w:szCs w:val="21"/>
        </w:rPr>
        <w:t>。最直观的表现是，在大学期间加入中国共产党越来越成为我校大部分学生的一种愿望。我校每年</w:t>
      </w:r>
      <w:r>
        <w:rPr>
          <w:rFonts w:hint="eastAsia" w:ascii="宋体" w:hAnsi="宋体" w:cs="宋体"/>
          <w:color w:val="000000"/>
          <w:kern w:val="0"/>
          <w:szCs w:val="21"/>
          <w:shd w:val="clear" w:color="auto" w:fill="FFFFFF"/>
        </w:rPr>
        <w:t>写入党申请书的学生人数达到</w:t>
      </w:r>
      <w:r>
        <w:rPr>
          <w:rFonts w:ascii="宋体" w:hAnsi="宋体" w:cs="宋体"/>
          <w:color w:val="000000"/>
          <w:kern w:val="0"/>
          <w:szCs w:val="21"/>
          <w:shd w:val="clear" w:color="auto" w:fill="FFFFFF"/>
        </w:rPr>
        <w:t>80%</w:t>
      </w:r>
      <w:r>
        <w:rPr>
          <w:rFonts w:hint="eastAsia" w:ascii="宋体" w:hAnsi="宋体" w:cs="宋体"/>
          <w:color w:val="000000"/>
          <w:kern w:val="0"/>
          <w:szCs w:val="21"/>
          <w:shd w:val="clear" w:color="auto" w:fill="FFFFFF"/>
        </w:rPr>
        <w:t>以上，入党积极分子培训班期期爆满，很多学生甚至为参加培训还需要排队。</w:t>
      </w:r>
    </w:p>
    <w:p>
      <w:pPr>
        <w:spacing w:line="400" w:lineRule="exact"/>
        <w:ind w:firstLine="422" w:firstLineChars="200"/>
        <w:rPr>
          <w:rFonts w:ascii="宋体" w:cs="宋体"/>
          <w:b/>
          <w:color w:val="000000"/>
          <w:kern w:val="0"/>
          <w:szCs w:val="21"/>
          <w:shd w:val="clear" w:color="auto" w:fill="FFFFFF"/>
        </w:rPr>
      </w:pPr>
      <w:r>
        <w:rPr>
          <w:rFonts w:hint="eastAsia" w:ascii="宋体" w:hAnsi="宋体" w:cs="宋体"/>
          <w:b/>
          <w:color w:val="000000"/>
          <w:kern w:val="0"/>
          <w:szCs w:val="21"/>
          <w:shd w:val="clear" w:color="auto" w:fill="FFFFFF"/>
        </w:rPr>
        <w:t>（三）促进了大学生对社会主义核心价值观的认同和践行</w:t>
      </w:r>
    </w:p>
    <w:p>
      <w:pPr>
        <w:spacing w:line="400" w:lineRule="exact"/>
        <w:ind w:firstLine="420" w:firstLineChars="200"/>
        <w:rPr>
          <w:rFonts w:ascii="宋体" w:cs="宋体"/>
          <w:color w:val="000000"/>
          <w:kern w:val="0"/>
          <w:szCs w:val="21"/>
          <w:shd w:val="clear" w:color="auto" w:fill="FFFFFF"/>
        </w:rPr>
      </w:pPr>
      <w:r>
        <w:rPr>
          <w:rFonts w:hint="eastAsia"/>
          <w:szCs w:val="21"/>
        </w:rPr>
        <w:t>思政课实践教学的灵魂即为核心价值观的教育。</w:t>
      </w:r>
      <w:r>
        <w:rPr>
          <w:rFonts w:hint="eastAsia" w:ascii="宋体" w:hAnsi="宋体"/>
          <w:szCs w:val="21"/>
          <w:vertAlign w:val="superscript"/>
        </w:rPr>
        <w:t>③</w:t>
      </w:r>
      <w:r>
        <w:rPr>
          <w:rFonts w:hint="eastAsia"/>
          <w:szCs w:val="21"/>
        </w:rPr>
        <w:t>把社会主义核心价值观的内容融入到思政课实践教学中，</w:t>
      </w:r>
      <w:r>
        <w:rPr>
          <w:rFonts w:hint="eastAsia" w:ascii="宋体" w:hAnsi="宋体" w:cs="宋体"/>
          <w:color w:val="000000"/>
          <w:kern w:val="0"/>
          <w:szCs w:val="21"/>
          <w:shd w:val="clear" w:color="auto" w:fill="FFFFFF"/>
        </w:rPr>
        <w:t>如“原理</w:t>
      </w:r>
      <w:r>
        <w:rPr>
          <w:rFonts w:hint="eastAsia" w:ascii="宋体" w:cs="宋体"/>
          <w:color w:val="000000"/>
          <w:kern w:val="0"/>
          <w:szCs w:val="21"/>
          <w:shd w:val="clear" w:color="auto" w:fill="FFFFFF"/>
        </w:rPr>
        <w:t>”</w:t>
      </w:r>
      <w:r>
        <w:rPr>
          <w:rFonts w:hint="eastAsia" w:ascii="宋体" w:hAnsi="宋体" w:cs="宋体"/>
          <w:color w:val="000000"/>
          <w:kern w:val="0"/>
          <w:szCs w:val="21"/>
          <w:shd w:val="clear" w:color="auto" w:fill="FFFFFF"/>
        </w:rPr>
        <w:t>课开展的“哲学与价值”的讨论活动、“概论”课开展的“中国特色社会主义与核心价值观”主题征文和知识竞赛活动、“纲要”课开展的“红色之旅”等，充分彰显和体现了社会主义核心价值观。这</w:t>
      </w:r>
      <w:r>
        <w:rPr>
          <w:rFonts w:hint="eastAsia"/>
          <w:szCs w:val="21"/>
        </w:rPr>
        <w:t>使学生在实践活动中对</w:t>
      </w:r>
      <w:r>
        <w:rPr>
          <w:rFonts w:hint="eastAsia" w:ascii="宋体" w:hAnsi="宋体" w:cs="宋体"/>
          <w:color w:val="000000"/>
          <w:kern w:val="0"/>
          <w:szCs w:val="21"/>
          <w:shd w:val="clear" w:color="auto" w:fill="FFFFFF"/>
        </w:rPr>
        <w:t>社会主义核心价值观</w:t>
      </w:r>
      <w:r>
        <w:rPr>
          <w:rFonts w:hint="eastAsia"/>
          <w:szCs w:val="21"/>
        </w:rPr>
        <w:t>得到有效的吸收，引发学生对国家、社会、个人三个层面价值观的感悟，从而</w:t>
      </w:r>
      <w:r>
        <w:rPr>
          <w:rFonts w:hint="eastAsia" w:ascii="宋体" w:hAnsi="宋体" w:cs="宋体"/>
          <w:color w:val="000000"/>
          <w:kern w:val="0"/>
          <w:szCs w:val="21"/>
          <w:shd w:val="clear" w:color="auto" w:fill="FFFFFF"/>
        </w:rPr>
        <w:t>促进了大学生对社会主义核心价值观的认同和践行。</w:t>
      </w:r>
    </w:p>
    <w:p>
      <w:pPr>
        <w:spacing w:line="400" w:lineRule="exact"/>
        <w:ind w:firstLine="525" w:firstLineChars="250"/>
        <w:rPr>
          <w:rFonts w:ascii="Verdana" w:hAnsi="Verdana" w:cs="Helvetica"/>
          <w:szCs w:val="21"/>
        </w:rPr>
      </w:pPr>
    </w:p>
    <w:p>
      <w:pPr>
        <w:spacing w:line="400" w:lineRule="exact"/>
        <w:rPr>
          <w:b/>
          <w:szCs w:val="21"/>
        </w:rPr>
      </w:pPr>
      <w:r>
        <w:rPr>
          <w:rFonts w:hint="eastAsia"/>
          <w:b/>
          <w:szCs w:val="21"/>
        </w:rPr>
        <w:t>注释：</w:t>
      </w:r>
    </w:p>
    <w:p>
      <w:pPr>
        <w:spacing w:line="400" w:lineRule="exact"/>
        <w:rPr>
          <w:szCs w:val="21"/>
        </w:rPr>
      </w:pPr>
      <w:r>
        <w:rPr>
          <w:rFonts w:hint="eastAsia" w:ascii="宋体" w:hAnsi="宋体"/>
          <w:szCs w:val="21"/>
        </w:rPr>
        <w:t>①习近平</w:t>
      </w:r>
      <w:r>
        <w:rPr>
          <w:rFonts w:hint="eastAsia"/>
          <w:szCs w:val="21"/>
        </w:rPr>
        <w:t>.习近平总书记在思政课教师座谈会上讲话</w:t>
      </w:r>
      <w:r>
        <w:rPr>
          <w:szCs w:val="21"/>
        </w:rPr>
        <w:t>[</w:t>
      </w:r>
      <w:r>
        <w:rPr>
          <w:rFonts w:hint="eastAsia"/>
          <w:szCs w:val="21"/>
        </w:rPr>
        <w:t>N</w:t>
      </w:r>
      <w:r>
        <w:rPr>
          <w:szCs w:val="21"/>
        </w:rPr>
        <w:t>]</w:t>
      </w:r>
      <w:r>
        <w:rPr>
          <w:rFonts w:hint="eastAsia"/>
          <w:szCs w:val="21"/>
        </w:rPr>
        <w:t>.人民日报，2019年03月19日01版</w:t>
      </w:r>
      <w:r>
        <w:rPr>
          <w:szCs w:val="21"/>
        </w:rPr>
        <w:t>.</w:t>
      </w:r>
    </w:p>
    <w:p>
      <w:pPr>
        <w:spacing w:line="400" w:lineRule="exact"/>
        <w:rPr>
          <w:szCs w:val="21"/>
        </w:rPr>
      </w:pPr>
      <w:r>
        <w:rPr>
          <w:rFonts w:hint="eastAsia"/>
          <w:szCs w:val="21"/>
        </w:rPr>
        <w:t>②陈宝.高校思想政治理论课虚拟实践教学探微</w:t>
      </w:r>
      <w:r>
        <w:rPr>
          <w:szCs w:val="21"/>
        </w:rPr>
        <w:t>[J].</w:t>
      </w:r>
      <w:r>
        <w:rPr>
          <w:rFonts w:hint="eastAsia"/>
          <w:szCs w:val="21"/>
        </w:rPr>
        <w:t>思想理论教育，</w:t>
      </w:r>
      <w:r>
        <w:rPr>
          <w:szCs w:val="21"/>
        </w:rPr>
        <w:t>2013</w:t>
      </w:r>
      <w:r>
        <w:rPr>
          <w:rFonts w:hint="eastAsia"/>
          <w:szCs w:val="21"/>
          <w:lang w:val="en-US" w:eastAsia="zh-CN"/>
        </w:rPr>
        <w:t>,</w:t>
      </w:r>
      <w:r>
        <w:rPr>
          <w:rFonts w:hint="eastAsia"/>
          <w:szCs w:val="21"/>
        </w:rPr>
        <w:t>（</w:t>
      </w:r>
      <w:r>
        <w:rPr>
          <w:szCs w:val="21"/>
        </w:rPr>
        <w:t>8</w:t>
      </w:r>
      <w:r>
        <w:rPr>
          <w:rFonts w:hint="eastAsia"/>
          <w:szCs w:val="21"/>
        </w:rPr>
        <w:t>）：59</w:t>
      </w:r>
      <w:r>
        <w:rPr>
          <w:szCs w:val="21"/>
        </w:rPr>
        <w:t>.</w:t>
      </w:r>
    </w:p>
    <w:p>
      <w:pPr>
        <w:spacing w:line="400" w:lineRule="exact"/>
        <w:rPr>
          <w:szCs w:val="21"/>
        </w:rPr>
      </w:pPr>
      <w:r>
        <w:rPr>
          <w:rFonts w:hint="eastAsia" w:ascii="宋体" w:hAnsi="宋体"/>
          <w:szCs w:val="21"/>
        </w:rPr>
        <w:t>③</w:t>
      </w:r>
      <w:r>
        <w:rPr>
          <w:rFonts w:hint="eastAsia"/>
          <w:szCs w:val="21"/>
        </w:rPr>
        <w:t>姚兰</w:t>
      </w:r>
      <w:r>
        <w:rPr>
          <w:szCs w:val="21"/>
        </w:rPr>
        <w:t>.</w:t>
      </w:r>
      <w:r>
        <w:rPr>
          <w:rFonts w:hint="eastAsia"/>
          <w:szCs w:val="21"/>
        </w:rPr>
        <w:t>社会主义核心价值观融入思政课实践教学的探讨</w:t>
      </w:r>
      <w:r>
        <w:rPr>
          <w:szCs w:val="21"/>
        </w:rPr>
        <w:t>[J].</w:t>
      </w:r>
      <w:r>
        <w:rPr>
          <w:rFonts w:hint="eastAsia"/>
          <w:szCs w:val="21"/>
        </w:rPr>
        <w:t>亚太教育，</w:t>
      </w:r>
      <w:r>
        <w:rPr>
          <w:szCs w:val="21"/>
        </w:rPr>
        <w:t>2016</w:t>
      </w:r>
      <w:r>
        <w:rPr>
          <w:rFonts w:hint="eastAsia"/>
          <w:szCs w:val="21"/>
        </w:rPr>
        <w:t>，（</w:t>
      </w:r>
      <w:r>
        <w:rPr>
          <w:szCs w:val="21"/>
        </w:rPr>
        <w:t>2</w:t>
      </w:r>
      <w:r>
        <w:rPr>
          <w:rFonts w:hint="eastAsia"/>
          <w:szCs w:val="21"/>
        </w:rPr>
        <w:t>）：98</w:t>
      </w:r>
      <w:r>
        <w:rPr>
          <w:szCs w:val="21"/>
        </w:rPr>
        <w:t>.</w:t>
      </w:r>
    </w:p>
    <w:p>
      <w:pPr>
        <w:spacing w:line="400" w:lineRule="exact"/>
        <w:rPr>
          <w:b/>
          <w:szCs w:val="21"/>
        </w:rPr>
      </w:pPr>
      <w:r>
        <w:rPr>
          <w:rFonts w:hint="eastAsia"/>
          <w:b/>
          <w:szCs w:val="21"/>
        </w:rPr>
        <w:t>参考文献：</w:t>
      </w:r>
    </w:p>
    <w:p>
      <w:pPr>
        <w:spacing w:line="400" w:lineRule="exact"/>
        <w:rPr>
          <w:rFonts w:ascii="宋体" w:cs="宋体"/>
          <w:color w:val="000000"/>
          <w:kern w:val="0"/>
          <w:szCs w:val="21"/>
          <w:shd w:val="clear" w:color="auto" w:fill="FFFFFF"/>
        </w:rPr>
      </w:pPr>
      <w:r>
        <w:rPr>
          <w:rFonts w:hint="eastAsia"/>
          <w:szCs w:val="21"/>
        </w:rPr>
        <w:t>[1]戴钢书</w:t>
      </w:r>
      <w:r>
        <w:rPr>
          <w:szCs w:val="21"/>
        </w:rPr>
        <w:t>.</w:t>
      </w:r>
      <w:r>
        <w:rPr>
          <w:rFonts w:hint="eastAsia"/>
          <w:szCs w:val="21"/>
        </w:rPr>
        <w:t>高校思想政治理论课实践教学论</w:t>
      </w:r>
      <w:r>
        <w:rPr>
          <w:szCs w:val="21"/>
        </w:rPr>
        <w:t>[M].</w:t>
      </w:r>
      <w:r>
        <w:rPr>
          <w:rFonts w:hint="eastAsia"/>
          <w:szCs w:val="21"/>
        </w:rPr>
        <w:t>北京：中国人民大学出版社，2015</w:t>
      </w:r>
      <w:r>
        <w:rPr>
          <w:rFonts w:hint="eastAsia"/>
          <w:szCs w:val="21"/>
          <w:lang w:val="en-US" w:eastAsia="zh-CN"/>
        </w:rPr>
        <w:t>:63</w:t>
      </w:r>
      <w:r>
        <w:rPr>
          <w:szCs w:val="21"/>
        </w:rPr>
        <w:t>.</w:t>
      </w:r>
    </w:p>
    <w:p>
      <w:pPr>
        <w:spacing w:line="400" w:lineRule="exact"/>
        <w:rPr>
          <w:szCs w:val="21"/>
        </w:rPr>
      </w:pPr>
      <w:r>
        <w:rPr>
          <w:rFonts w:hint="eastAsia"/>
          <w:szCs w:val="21"/>
        </w:rPr>
        <w:t>[2]杨宗兴</w:t>
      </w:r>
      <w:r>
        <w:rPr>
          <w:szCs w:val="21"/>
        </w:rPr>
        <w:t>.</w:t>
      </w:r>
      <w:r>
        <w:rPr>
          <w:rFonts w:hint="eastAsia"/>
          <w:szCs w:val="21"/>
        </w:rPr>
        <w:t>民办高校思想政治理论课实践教学路径论析</w:t>
      </w:r>
      <w:r>
        <w:rPr>
          <w:szCs w:val="21"/>
        </w:rPr>
        <w:t>[J].</w:t>
      </w:r>
      <w:r>
        <w:rPr>
          <w:rFonts w:hint="eastAsia"/>
          <w:szCs w:val="21"/>
        </w:rPr>
        <w:t>广西教育，</w:t>
      </w:r>
      <w:r>
        <w:rPr>
          <w:szCs w:val="21"/>
        </w:rPr>
        <w:t>201</w:t>
      </w:r>
      <w:r>
        <w:rPr>
          <w:rFonts w:hint="eastAsia"/>
          <w:szCs w:val="21"/>
        </w:rPr>
        <w:t>6</w:t>
      </w:r>
      <w:r>
        <w:rPr>
          <w:rFonts w:hint="eastAsia"/>
          <w:szCs w:val="21"/>
          <w:lang w:val="en-US" w:eastAsia="zh-CN"/>
        </w:rPr>
        <w:t>,</w:t>
      </w:r>
      <w:r>
        <w:rPr>
          <w:rFonts w:hint="eastAsia"/>
          <w:szCs w:val="21"/>
        </w:rPr>
        <w:t>（10）：54-56</w:t>
      </w:r>
      <w:r>
        <w:rPr>
          <w:szCs w:val="21"/>
        </w:rPr>
        <w:t>.</w:t>
      </w:r>
    </w:p>
    <w:p>
      <w:pPr>
        <w:spacing w:line="400" w:lineRule="exact"/>
        <w:rPr>
          <w:szCs w:val="21"/>
        </w:rPr>
      </w:pPr>
      <w:r>
        <w:rPr>
          <w:rFonts w:hint="eastAsia"/>
          <w:szCs w:val="21"/>
        </w:rPr>
        <w:t>[3]曾令辉</w:t>
      </w:r>
      <w:r>
        <w:rPr>
          <w:szCs w:val="21"/>
        </w:rPr>
        <w:t>.</w:t>
      </w:r>
      <w:r>
        <w:rPr>
          <w:rFonts w:hint="eastAsia"/>
          <w:szCs w:val="21"/>
        </w:rPr>
        <w:t>新媒体环境下高校思想政治理论课 “三三制”教学模式构建与实施</w:t>
      </w:r>
      <w:r>
        <w:rPr>
          <w:szCs w:val="21"/>
        </w:rPr>
        <w:t>[J].</w:t>
      </w:r>
      <w:r>
        <w:rPr>
          <w:rFonts w:hint="eastAsia"/>
          <w:szCs w:val="21"/>
        </w:rPr>
        <w:t>思想理论教育导刊，</w:t>
      </w:r>
      <w:r>
        <w:rPr>
          <w:szCs w:val="21"/>
        </w:rPr>
        <w:t>201</w:t>
      </w:r>
      <w:r>
        <w:rPr>
          <w:rFonts w:hint="eastAsia"/>
          <w:szCs w:val="21"/>
        </w:rPr>
        <w:t>8</w:t>
      </w:r>
      <w:r>
        <w:rPr>
          <w:rFonts w:hint="eastAsia"/>
          <w:szCs w:val="21"/>
          <w:lang w:val="en-US" w:eastAsia="zh-CN"/>
        </w:rPr>
        <w:t>,</w:t>
      </w:r>
      <w:r>
        <w:rPr>
          <w:rFonts w:hint="eastAsia"/>
          <w:szCs w:val="21"/>
        </w:rPr>
        <w:t>（11）：117-122</w:t>
      </w:r>
      <w:r>
        <w:rPr>
          <w:szCs w:val="21"/>
        </w:rPr>
        <w:t>.</w:t>
      </w:r>
    </w:p>
    <w:p>
      <w:pPr>
        <w:spacing w:line="400" w:lineRule="exact"/>
        <w:rPr>
          <w:szCs w:val="21"/>
        </w:rPr>
      </w:pPr>
      <w:r>
        <w:rPr>
          <w:rFonts w:hint="eastAsia"/>
          <w:szCs w:val="21"/>
        </w:rPr>
        <w:t>[4]田福宁</w:t>
      </w:r>
      <w:r>
        <w:rPr>
          <w:szCs w:val="21"/>
        </w:rPr>
        <w:t>.</w:t>
      </w:r>
      <w:r>
        <w:rPr>
          <w:rFonts w:hint="eastAsia"/>
          <w:szCs w:val="21"/>
        </w:rPr>
        <w:t>关于高校思想政治理论课实践教学判定标准及内涵的几点思考</w:t>
      </w:r>
      <w:r>
        <w:rPr>
          <w:szCs w:val="21"/>
        </w:rPr>
        <w:t>[J].</w:t>
      </w:r>
      <w:r>
        <w:rPr>
          <w:rFonts w:hint="eastAsia"/>
          <w:szCs w:val="21"/>
        </w:rPr>
        <w:t>思想政治课研究，</w:t>
      </w:r>
      <w:r>
        <w:rPr>
          <w:szCs w:val="21"/>
        </w:rPr>
        <w:t>201</w:t>
      </w:r>
      <w:r>
        <w:rPr>
          <w:rFonts w:hint="eastAsia"/>
          <w:szCs w:val="21"/>
        </w:rPr>
        <w:t>8</w:t>
      </w:r>
      <w:r>
        <w:rPr>
          <w:rFonts w:hint="eastAsia"/>
          <w:szCs w:val="21"/>
          <w:lang w:val="en-US" w:eastAsia="zh-CN"/>
        </w:rPr>
        <w:t>,</w:t>
      </w:r>
      <w:r>
        <w:rPr>
          <w:rFonts w:hint="eastAsia"/>
          <w:szCs w:val="21"/>
        </w:rPr>
        <w:t>（12）：51-54</w:t>
      </w:r>
      <w:r>
        <w:rPr>
          <w:szCs w:val="21"/>
        </w:rPr>
        <w:t>.</w:t>
      </w:r>
    </w:p>
    <w:p>
      <w:pPr>
        <w:spacing w:line="400" w:lineRule="exact"/>
        <w:rPr>
          <w:szCs w:val="21"/>
        </w:rPr>
      </w:pPr>
      <w:r>
        <w:rPr>
          <w:rFonts w:hint="eastAsia"/>
          <w:szCs w:val="21"/>
        </w:rPr>
        <w:t>[5]张振华</w:t>
      </w:r>
      <w:r>
        <w:rPr>
          <w:szCs w:val="21"/>
        </w:rPr>
        <w:t>.</w:t>
      </w:r>
      <w:r>
        <w:rPr>
          <w:rFonts w:hint="eastAsia"/>
          <w:szCs w:val="21"/>
        </w:rPr>
        <w:t>高校思想政治理论课实践教学的心理作用机制探析</w:t>
      </w:r>
      <w:r>
        <w:rPr>
          <w:szCs w:val="21"/>
        </w:rPr>
        <w:t>[J].</w:t>
      </w:r>
      <w:r>
        <w:rPr>
          <w:rFonts w:hint="eastAsia"/>
          <w:szCs w:val="21"/>
        </w:rPr>
        <w:t>思想教育研究，</w:t>
      </w:r>
      <w:r>
        <w:rPr>
          <w:szCs w:val="21"/>
        </w:rPr>
        <w:t>201</w:t>
      </w:r>
      <w:r>
        <w:rPr>
          <w:rFonts w:hint="eastAsia"/>
          <w:szCs w:val="21"/>
        </w:rPr>
        <w:t>8</w:t>
      </w:r>
      <w:r>
        <w:rPr>
          <w:rFonts w:hint="eastAsia"/>
          <w:szCs w:val="21"/>
          <w:lang w:val="en-US" w:eastAsia="zh-CN"/>
        </w:rPr>
        <w:t>,</w:t>
      </w:r>
      <w:bookmarkStart w:id="0" w:name="_GoBack"/>
      <w:bookmarkEnd w:id="0"/>
      <w:r>
        <w:rPr>
          <w:rFonts w:hint="eastAsia"/>
          <w:szCs w:val="21"/>
        </w:rPr>
        <w:t>（12）：81-86</w:t>
      </w:r>
      <w:r>
        <w:rPr>
          <w:szCs w:val="21"/>
        </w:rPr>
        <w:t>.</w:t>
      </w: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p>
    <w:p>
      <w:pPr>
        <w:adjustRightInd w:val="0"/>
        <w:snapToGrid w:val="0"/>
        <w:spacing w:line="360" w:lineRule="auto"/>
        <w:jc w:val="center"/>
        <w:rPr>
          <w:rFonts w:ascii="Times New Roman" w:hAnsi="Times New Roman"/>
          <w:szCs w:val="21"/>
        </w:rPr>
      </w:pPr>
      <w:r>
        <w:rPr>
          <w:rFonts w:ascii="Times New Roman" w:hAnsi="Times New Roman"/>
          <w:szCs w:val="21"/>
        </w:rPr>
        <w:t>Exploration on Practical Teaching Mode of Ideological and Political Courses in Application-oriented Private</w:t>
      </w:r>
      <w:r>
        <w:rPr>
          <w:rFonts w:hint="eastAsia" w:ascii="Times New Roman" w:hAnsi="Times New Roman"/>
          <w:szCs w:val="21"/>
        </w:rPr>
        <w:t xml:space="preserve"> Undergraduate</w:t>
      </w:r>
      <w:r>
        <w:rPr>
          <w:rFonts w:ascii="Times New Roman" w:hAnsi="Times New Roman"/>
          <w:szCs w:val="21"/>
        </w:rPr>
        <w:t xml:space="preserve"> </w:t>
      </w:r>
      <w:r>
        <w:rPr>
          <w:rFonts w:hint="eastAsia" w:ascii="Times New Roman" w:hAnsi="Times New Roman"/>
          <w:szCs w:val="21"/>
        </w:rPr>
        <w:t>Colleges</w:t>
      </w:r>
    </w:p>
    <w:p>
      <w:pPr>
        <w:adjustRightInd w:val="0"/>
        <w:snapToGrid w:val="0"/>
        <w:spacing w:line="360" w:lineRule="auto"/>
        <w:jc w:val="center"/>
        <w:rPr>
          <w:rFonts w:ascii="Times New Roman" w:hAnsi="Times New Roman"/>
          <w:szCs w:val="21"/>
        </w:rPr>
      </w:pPr>
      <w:r>
        <w:rPr>
          <w:rFonts w:ascii="Times New Roman" w:hAnsi="Times New Roman"/>
          <w:szCs w:val="21"/>
        </w:rPr>
        <w:t>YANG Zongxing,</w:t>
      </w:r>
      <w:r>
        <w:rPr>
          <w:rFonts w:hint="eastAsia" w:ascii="Times New Roman" w:hAnsi="Times New Roman"/>
          <w:szCs w:val="21"/>
        </w:rPr>
        <w:t xml:space="preserve"> </w:t>
      </w:r>
      <w:r>
        <w:rPr>
          <w:rFonts w:ascii="Times New Roman" w:hAnsi="Times New Roman"/>
          <w:szCs w:val="21"/>
        </w:rPr>
        <w:t>GUO Man</w:t>
      </w:r>
    </w:p>
    <w:p>
      <w:pPr>
        <w:adjustRightInd w:val="0"/>
        <w:snapToGrid w:val="0"/>
        <w:spacing w:line="360" w:lineRule="auto"/>
        <w:jc w:val="center"/>
        <w:rPr>
          <w:rFonts w:ascii="Times New Roman" w:hAnsi="Times New Roman"/>
          <w:szCs w:val="21"/>
        </w:rPr>
      </w:pPr>
      <w:r>
        <w:rPr>
          <w:rFonts w:hint="eastAsia" w:ascii="Times New Roman" w:hAnsi="Times New Roman"/>
          <w:szCs w:val="21"/>
        </w:rPr>
        <w:t>(</w:t>
      </w:r>
      <w:r>
        <w:rPr>
          <w:rFonts w:ascii="Times New Roman" w:hAnsi="Times New Roman"/>
          <w:szCs w:val="21"/>
        </w:rPr>
        <w:t>School of Law and Business, Guangxi College of Education, Nan’ning, Guangxi 530023, China</w:t>
      </w:r>
      <w:r>
        <w:rPr>
          <w:rFonts w:hint="eastAsia" w:ascii="Times New Roman" w:hAnsi="Times New Roman"/>
          <w:szCs w:val="21"/>
        </w:rPr>
        <w:t xml:space="preserve">; </w:t>
      </w:r>
      <w:r>
        <w:rPr>
          <w:rFonts w:ascii="Times New Roman" w:hAnsi="Times New Roman"/>
          <w:szCs w:val="21"/>
        </w:rPr>
        <w:t>School of Marxism, Guangxi University of Foreign Languages, Nan’ning, Guangxi</w:t>
      </w:r>
      <w:r>
        <w:rPr>
          <w:rFonts w:hint="eastAsia" w:ascii="Times New Roman" w:hAnsi="Times New Roman"/>
          <w:szCs w:val="21"/>
        </w:rPr>
        <w:t xml:space="preserve"> </w:t>
      </w:r>
      <w:r>
        <w:rPr>
          <w:rFonts w:ascii="Times New Roman" w:hAnsi="Times New Roman"/>
          <w:szCs w:val="21"/>
        </w:rPr>
        <w:t>530222, China</w:t>
      </w:r>
      <w:r>
        <w:rPr>
          <w:rFonts w:hint="eastAsia" w:ascii="Times New Roman" w:hAnsi="Times New Roman"/>
          <w:szCs w:val="21"/>
        </w:rPr>
        <w:t>)</w:t>
      </w:r>
    </w:p>
    <w:p>
      <w:pPr>
        <w:adjustRightInd w:val="0"/>
        <w:snapToGrid w:val="0"/>
        <w:spacing w:line="360" w:lineRule="auto"/>
        <w:ind w:firstLine="422" w:firstLineChars="200"/>
        <w:rPr>
          <w:rFonts w:ascii="Times New Roman" w:hAnsi="Times New Roman"/>
          <w:kern w:val="0"/>
          <w:szCs w:val="21"/>
        </w:rPr>
      </w:pPr>
      <w:r>
        <w:rPr>
          <w:rFonts w:ascii="Times New Roman" w:hAnsi="Times New Roman"/>
          <w:b/>
          <w:bCs/>
          <w:szCs w:val="21"/>
        </w:rPr>
        <w:t>Abstract</w:t>
      </w:r>
      <w:r>
        <w:rPr>
          <w:rFonts w:hint="eastAsia" w:ascii="Times New Roman" w:hAnsi="Times New Roman"/>
          <w:b/>
          <w:bCs/>
          <w:szCs w:val="21"/>
        </w:rPr>
        <w:t>:</w:t>
      </w:r>
      <w:r>
        <w:rPr>
          <w:rFonts w:ascii="Times New Roman" w:hAnsi="Times New Roman"/>
          <w:b/>
          <w:bCs/>
          <w:szCs w:val="21"/>
        </w:rPr>
        <w:t xml:space="preserve"> </w:t>
      </w:r>
      <w:r>
        <w:rPr>
          <w:rFonts w:hint="eastAsia" w:ascii="Times New Roman" w:hAnsi="Times New Roman"/>
          <w:bCs/>
          <w:szCs w:val="21"/>
        </w:rPr>
        <w:t>A</w:t>
      </w:r>
      <w:r>
        <w:rPr>
          <w:rFonts w:ascii="Times New Roman" w:hAnsi="Times New Roman"/>
          <w:kern w:val="0"/>
          <w:szCs w:val="21"/>
        </w:rPr>
        <w:t xml:space="preserve">pplication-oriented private undergraduate </w:t>
      </w:r>
      <w:r>
        <w:rPr>
          <w:rFonts w:hint="eastAsia" w:ascii="Times New Roman" w:hAnsi="Times New Roman"/>
          <w:kern w:val="0"/>
          <w:szCs w:val="21"/>
        </w:rPr>
        <w:t>colleges</w:t>
      </w:r>
      <w:r>
        <w:rPr>
          <w:rFonts w:ascii="Times New Roman" w:hAnsi="Times New Roman"/>
          <w:kern w:val="0"/>
          <w:szCs w:val="21"/>
        </w:rPr>
        <w:t xml:space="preserve"> cultivate</w:t>
      </w:r>
      <w:r>
        <w:rPr>
          <w:rFonts w:hint="eastAsia" w:ascii="Times New Roman" w:hAnsi="Times New Roman"/>
          <w:kern w:val="0"/>
          <w:szCs w:val="21"/>
        </w:rPr>
        <w:t xml:space="preserve"> </w:t>
      </w:r>
      <w:r>
        <w:rPr>
          <w:rFonts w:ascii="Times New Roman" w:hAnsi="Times New Roman"/>
          <w:kern w:val="0"/>
          <w:szCs w:val="21"/>
        </w:rPr>
        <w:t>talents who have</w:t>
      </w:r>
      <w:r>
        <w:rPr>
          <w:rFonts w:hint="eastAsia" w:ascii="Times New Roman" w:hAnsi="Times New Roman"/>
          <w:kern w:val="0"/>
          <w:szCs w:val="21"/>
        </w:rPr>
        <w:t xml:space="preserve"> </w:t>
      </w:r>
      <w:r>
        <w:rPr>
          <w:rFonts w:ascii="Times New Roman" w:hAnsi="Times New Roman"/>
          <w:kern w:val="0"/>
          <w:szCs w:val="21"/>
        </w:rPr>
        <w:t xml:space="preserve">strong practical ability. At present, some factors such as the single source of funds, the diversity of teachers and the differentiated student structure, however, restrict the practical teaching of ideological and political courses. Taking this into account, according to the in-depth study </w:t>
      </w:r>
      <w:r>
        <w:rPr>
          <w:rFonts w:hint="eastAsia" w:ascii="Times New Roman" w:hAnsi="Times New Roman"/>
          <w:kern w:val="0"/>
          <w:szCs w:val="21"/>
        </w:rPr>
        <w:t xml:space="preserve">of </w:t>
      </w:r>
      <w:r>
        <w:rPr>
          <w:rFonts w:ascii="Times New Roman" w:hAnsi="Times New Roman"/>
          <w:kern w:val="0"/>
          <w:szCs w:val="21"/>
        </w:rPr>
        <w:t xml:space="preserve">research group, it has been concluded that application-oriented private undergraduate colleges should conduct multi-level practice teaching on basis of grade; based on the </w:t>
      </w:r>
      <w:r>
        <w:rPr>
          <w:rFonts w:ascii="Times New Roman" w:hAnsi="Times New Roman"/>
          <w:i/>
          <w:kern w:val="0"/>
          <w:szCs w:val="21"/>
        </w:rPr>
        <w:t xml:space="preserve">Guide, </w:t>
      </w:r>
      <w:r>
        <w:rPr>
          <w:rFonts w:ascii="Times New Roman" w:hAnsi="Times New Roman"/>
          <w:kern w:val="0"/>
          <w:szCs w:val="21"/>
        </w:rPr>
        <w:t>design practical teaching projects around the course content; and develop different forms of practical teaching to enhance the effect of education by the means of</w:t>
      </w:r>
      <w:r>
        <w:rPr>
          <w:rFonts w:hint="eastAsia" w:ascii="Times New Roman" w:hAnsi="Times New Roman"/>
          <w:kern w:val="0"/>
          <w:szCs w:val="21"/>
        </w:rPr>
        <w:t xml:space="preserve"> </w:t>
      </w:r>
      <w:r>
        <w:rPr>
          <w:rFonts w:ascii="Times New Roman" w:hAnsi="Times New Roman"/>
          <w:kern w:val="0"/>
          <w:szCs w:val="21"/>
        </w:rPr>
        <w:t xml:space="preserve">“Four Combination”.  </w:t>
      </w:r>
    </w:p>
    <w:p>
      <w:pPr>
        <w:adjustRightInd w:val="0"/>
        <w:snapToGrid w:val="0"/>
        <w:spacing w:line="360" w:lineRule="auto"/>
        <w:rPr>
          <w:rFonts w:ascii="Times New Roman" w:hAnsi="Times New Roman"/>
          <w:kern w:val="0"/>
          <w:szCs w:val="21"/>
        </w:rPr>
      </w:pPr>
      <w:r>
        <w:rPr>
          <w:rFonts w:ascii="Times New Roman" w:hAnsi="Times New Roman"/>
          <w:b/>
          <w:bCs/>
          <w:szCs w:val="21"/>
        </w:rPr>
        <w:t>Key words</w:t>
      </w:r>
      <w:r>
        <w:rPr>
          <w:rFonts w:hint="eastAsia" w:ascii="Times New Roman" w:hAnsi="Times New Roman"/>
          <w:b/>
          <w:bCs/>
          <w:szCs w:val="21"/>
        </w:rPr>
        <w:t>:</w:t>
      </w:r>
      <w:r>
        <w:rPr>
          <w:rFonts w:ascii="Times New Roman" w:hAnsi="Times New Roman"/>
          <w:b/>
          <w:bCs/>
          <w:szCs w:val="21"/>
        </w:rPr>
        <w:t xml:space="preserve"> </w:t>
      </w:r>
      <w:r>
        <w:rPr>
          <w:rFonts w:ascii="Times New Roman" w:hAnsi="Times New Roman"/>
          <w:kern w:val="0"/>
          <w:szCs w:val="21"/>
        </w:rPr>
        <w:t xml:space="preserve">private undergraduate </w:t>
      </w:r>
      <w:r>
        <w:rPr>
          <w:rFonts w:hint="eastAsia" w:ascii="Times New Roman" w:hAnsi="Times New Roman"/>
          <w:kern w:val="0"/>
          <w:szCs w:val="21"/>
        </w:rPr>
        <w:t>colleges</w:t>
      </w:r>
      <w:r>
        <w:rPr>
          <w:rFonts w:ascii="Times New Roman" w:hAnsi="Times New Roman"/>
          <w:kern w:val="0"/>
          <w:szCs w:val="21"/>
        </w:rPr>
        <w:t>; ideological and political courses; practice teaching</w:t>
      </w:r>
    </w:p>
    <w:p>
      <w:pPr>
        <w:spacing w:line="400" w:lineRule="exact"/>
        <w:rPr>
          <w:szCs w:val="21"/>
        </w:rPr>
      </w:pPr>
    </w:p>
    <w:p>
      <w:pPr>
        <w:rPr>
          <w:rFonts w:hint="eastAsia" w:eastAsia="宋体"/>
          <w:sz w:val="28"/>
          <w:szCs w:val="28"/>
          <w:lang w:val="en-US" w:eastAsia="zh-CN"/>
        </w:rPr>
      </w:pPr>
      <w:r>
        <w:rPr>
          <w:rFonts w:hint="eastAsia"/>
          <w:szCs w:val="21"/>
          <w:lang w:val="en-US" w:eastAsia="zh-CN"/>
        </w:rPr>
        <w:t xml:space="preserve"> （责任编辑：马晓颖）</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10"/>
        </w:rPr>
        <w:footnoteRef/>
      </w:r>
      <w:r>
        <w:t xml:space="preserve"> </w:t>
      </w:r>
      <w:r>
        <w:rPr>
          <w:rFonts w:hint="eastAsia"/>
          <w:b/>
        </w:rPr>
        <w:t>收稿日期：</w:t>
      </w:r>
      <w:r>
        <w:rPr>
          <w:rFonts w:hint="eastAsia"/>
        </w:rPr>
        <w:t>2019年04月07日</w:t>
      </w:r>
    </w:p>
    <w:p>
      <w:pPr>
        <w:pStyle w:val="5"/>
        <w:ind w:left="1009" w:leftChars="50" w:hanging="904" w:hangingChars="500"/>
      </w:pPr>
      <w:r>
        <w:rPr>
          <w:rFonts w:hint="eastAsia"/>
          <w:b/>
        </w:rPr>
        <w:t>作者简介：</w:t>
      </w:r>
      <w:r>
        <w:rPr>
          <w:rFonts w:hint="eastAsia"/>
        </w:rPr>
        <w:t>杨宗兴（1973-），男，河南南阳人，副教授，硕士，</w:t>
      </w:r>
      <w:r>
        <w:rPr>
          <w:rFonts w:hint="eastAsia"/>
          <w:lang w:eastAsia="zh-CN"/>
        </w:rPr>
        <w:t>主要</w:t>
      </w:r>
      <w:r>
        <w:rPr>
          <w:rFonts w:hint="eastAsia"/>
        </w:rPr>
        <w:t>研究方向：高校思想政治教育与管理。</w:t>
      </w:r>
    </w:p>
    <w:p>
      <w:pPr>
        <w:pStyle w:val="5"/>
        <w:ind w:left="1005" w:leftChars="50" w:hanging="900" w:hangingChars="500"/>
      </w:pPr>
      <w:r>
        <w:rPr>
          <w:rFonts w:hint="eastAsia"/>
        </w:rPr>
        <w:t xml:space="preserve">          郭曼（1984-），女，广西北流人，讲师，学士，</w:t>
      </w:r>
      <w:r>
        <w:rPr>
          <w:rFonts w:hint="eastAsia"/>
          <w:lang w:eastAsia="zh-CN"/>
        </w:rPr>
        <w:t>主要</w:t>
      </w:r>
      <w:r>
        <w:rPr>
          <w:rFonts w:hint="eastAsia"/>
        </w:rPr>
        <w:t>研究方向：大学生思想政治教育。</w:t>
      </w:r>
    </w:p>
    <w:p>
      <w:pPr>
        <w:pStyle w:val="5"/>
        <w:ind w:left="1009" w:leftChars="50" w:hanging="904" w:hangingChars="500"/>
      </w:pPr>
      <w:r>
        <w:rPr>
          <w:rFonts w:hint="eastAsia"/>
          <w:b/>
        </w:rPr>
        <w:t>基金项目：</w:t>
      </w:r>
      <w:r>
        <w:rPr>
          <w:rFonts w:hint="eastAsia"/>
        </w:rPr>
        <w:t>本文系</w:t>
      </w:r>
      <w:r>
        <w:t>201</w:t>
      </w:r>
      <w:r>
        <w:rPr>
          <w:rFonts w:hint="eastAsia"/>
        </w:rPr>
        <w:t>8年广西高等教育本科教学改革工程项目“基于应用型人才培养的广西民办本科院校思政课教学改革研究”（课题编号</w:t>
      </w:r>
      <w:r>
        <w:t>201</w:t>
      </w:r>
      <w:r>
        <w:rPr>
          <w:rFonts w:hint="eastAsia"/>
        </w:rPr>
        <w:t>8J</w:t>
      </w:r>
      <w:r>
        <w:t>G</w:t>
      </w:r>
      <w:r>
        <w:rPr>
          <w:rFonts w:hint="eastAsia"/>
        </w:rPr>
        <w:t>B</w:t>
      </w:r>
      <w:r>
        <w:t>3</w:t>
      </w:r>
      <w:r>
        <w:rPr>
          <w:rFonts w:hint="eastAsia"/>
        </w:rPr>
        <w:t>71</w:t>
      </w:r>
      <w:r>
        <w:t>)</w:t>
      </w:r>
      <w:r>
        <w:rPr>
          <w:rFonts w:hint="eastAsia"/>
        </w:rPr>
        <w:t>的阶段性成果。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F129C"/>
    <w:multiLevelType w:val="multilevel"/>
    <w:tmpl w:val="617F129C"/>
    <w:lvl w:ilvl="0" w:tentative="0">
      <w:start w:val="1"/>
      <w:numFmt w:val="japaneseCounting"/>
      <w:lvlText w:val="%1、"/>
      <w:lvlJc w:val="left"/>
      <w:pPr>
        <w:ind w:left="871" w:hanging="51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60EC7"/>
    <w:rsid w:val="000036D5"/>
    <w:rsid w:val="00004D75"/>
    <w:rsid w:val="0002107F"/>
    <w:rsid w:val="0002390A"/>
    <w:rsid w:val="00023D9E"/>
    <w:rsid w:val="00024E87"/>
    <w:rsid w:val="00025BB8"/>
    <w:rsid w:val="0003049F"/>
    <w:rsid w:val="00031923"/>
    <w:rsid w:val="00031F3F"/>
    <w:rsid w:val="00033B00"/>
    <w:rsid w:val="000355B7"/>
    <w:rsid w:val="00036350"/>
    <w:rsid w:val="00041412"/>
    <w:rsid w:val="00042B82"/>
    <w:rsid w:val="00045182"/>
    <w:rsid w:val="0006021B"/>
    <w:rsid w:val="000605C7"/>
    <w:rsid w:val="00062C6B"/>
    <w:rsid w:val="00063F86"/>
    <w:rsid w:val="00067FB5"/>
    <w:rsid w:val="00071C68"/>
    <w:rsid w:val="00072185"/>
    <w:rsid w:val="000746A8"/>
    <w:rsid w:val="00091752"/>
    <w:rsid w:val="000A0F36"/>
    <w:rsid w:val="000A77DE"/>
    <w:rsid w:val="000C1802"/>
    <w:rsid w:val="000C6936"/>
    <w:rsid w:val="000F2099"/>
    <w:rsid w:val="000F35AF"/>
    <w:rsid w:val="000F4541"/>
    <w:rsid w:val="000F7F61"/>
    <w:rsid w:val="001077F4"/>
    <w:rsid w:val="00125BA4"/>
    <w:rsid w:val="00131A1B"/>
    <w:rsid w:val="0013347C"/>
    <w:rsid w:val="00137134"/>
    <w:rsid w:val="0014150C"/>
    <w:rsid w:val="00152186"/>
    <w:rsid w:val="00156273"/>
    <w:rsid w:val="001562FF"/>
    <w:rsid w:val="00161891"/>
    <w:rsid w:val="00161D92"/>
    <w:rsid w:val="001627AE"/>
    <w:rsid w:val="00164381"/>
    <w:rsid w:val="00164755"/>
    <w:rsid w:val="001674DD"/>
    <w:rsid w:val="00181824"/>
    <w:rsid w:val="001846D6"/>
    <w:rsid w:val="00186BF0"/>
    <w:rsid w:val="00186ED5"/>
    <w:rsid w:val="001876BE"/>
    <w:rsid w:val="0019001F"/>
    <w:rsid w:val="001919ED"/>
    <w:rsid w:val="001B2196"/>
    <w:rsid w:val="001B51F2"/>
    <w:rsid w:val="001B5B90"/>
    <w:rsid w:val="001B6839"/>
    <w:rsid w:val="001B6E43"/>
    <w:rsid w:val="001C5FE9"/>
    <w:rsid w:val="001C72D8"/>
    <w:rsid w:val="001C7869"/>
    <w:rsid w:val="001D0480"/>
    <w:rsid w:val="001D5514"/>
    <w:rsid w:val="001E2751"/>
    <w:rsid w:val="001E3420"/>
    <w:rsid w:val="001E6415"/>
    <w:rsid w:val="002116BB"/>
    <w:rsid w:val="00213856"/>
    <w:rsid w:val="00214991"/>
    <w:rsid w:val="0022207C"/>
    <w:rsid w:val="00222AD1"/>
    <w:rsid w:val="00224803"/>
    <w:rsid w:val="00226B2F"/>
    <w:rsid w:val="00226BC1"/>
    <w:rsid w:val="00227613"/>
    <w:rsid w:val="00235F11"/>
    <w:rsid w:val="00237D12"/>
    <w:rsid w:val="00240B7E"/>
    <w:rsid w:val="00240C98"/>
    <w:rsid w:val="00241736"/>
    <w:rsid w:val="002418F9"/>
    <w:rsid w:val="00243763"/>
    <w:rsid w:val="0025764F"/>
    <w:rsid w:val="00261A88"/>
    <w:rsid w:val="00261B70"/>
    <w:rsid w:val="00274710"/>
    <w:rsid w:val="00283ED9"/>
    <w:rsid w:val="00286615"/>
    <w:rsid w:val="0029068C"/>
    <w:rsid w:val="00290E0D"/>
    <w:rsid w:val="00292078"/>
    <w:rsid w:val="00297A8B"/>
    <w:rsid w:val="002A0488"/>
    <w:rsid w:val="002A1A94"/>
    <w:rsid w:val="002A5CF7"/>
    <w:rsid w:val="002A5DE6"/>
    <w:rsid w:val="002B3787"/>
    <w:rsid w:val="002B75C2"/>
    <w:rsid w:val="002D0893"/>
    <w:rsid w:val="002D26A7"/>
    <w:rsid w:val="002D65FE"/>
    <w:rsid w:val="002D6F17"/>
    <w:rsid w:val="002E0B8D"/>
    <w:rsid w:val="002E1D99"/>
    <w:rsid w:val="002E4B0D"/>
    <w:rsid w:val="002E72C3"/>
    <w:rsid w:val="002F4709"/>
    <w:rsid w:val="002F4C80"/>
    <w:rsid w:val="002F563C"/>
    <w:rsid w:val="00300F05"/>
    <w:rsid w:val="003024B5"/>
    <w:rsid w:val="00312652"/>
    <w:rsid w:val="00324BFA"/>
    <w:rsid w:val="0033046E"/>
    <w:rsid w:val="003316FF"/>
    <w:rsid w:val="003379BC"/>
    <w:rsid w:val="00343734"/>
    <w:rsid w:val="00346136"/>
    <w:rsid w:val="00350D24"/>
    <w:rsid w:val="003514A4"/>
    <w:rsid w:val="0035643A"/>
    <w:rsid w:val="00356DE8"/>
    <w:rsid w:val="0035725F"/>
    <w:rsid w:val="00361B99"/>
    <w:rsid w:val="00364313"/>
    <w:rsid w:val="00365674"/>
    <w:rsid w:val="00365EEA"/>
    <w:rsid w:val="00370E8C"/>
    <w:rsid w:val="003737AC"/>
    <w:rsid w:val="003758D3"/>
    <w:rsid w:val="00377BBE"/>
    <w:rsid w:val="00381A02"/>
    <w:rsid w:val="00381EAC"/>
    <w:rsid w:val="003837D3"/>
    <w:rsid w:val="00385D1D"/>
    <w:rsid w:val="00385FA6"/>
    <w:rsid w:val="00386563"/>
    <w:rsid w:val="00390A56"/>
    <w:rsid w:val="00392AC1"/>
    <w:rsid w:val="003931ED"/>
    <w:rsid w:val="00397FC4"/>
    <w:rsid w:val="003A1AE4"/>
    <w:rsid w:val="003A52EF"/>
    <w:rsid w:val="003A5748"/>
    <w:rsid w:val="003B2F95"/>
    <w:rsid w:val="003C4B28"/>
    <w:rsid w:val="003C5853"/>
    <w:rsid w:val="003C72EF"/>
    <w:rsid w:val="003D614D"/>
    <w:rsid w:val="003D6C2A"/>
    <w:rsid w:val="003D7677"/>
    <w:rsid w:val="003E1A5D"/>
    <w:rsid w:val="003E4DF8"/>
    <w:rsid w:val="003F16DF"/>
    <w:rsid w:val="003F48C6"/>
    <w:rsid w:val="003F5CD0"/>
    <w:rsid w:val="003F5CE6"/>
    <w:rsid w:val="00402E8A"/>
    <w:rsid w:val="00403542"/>
    <w:rsid w:val="00404FF7"/>
    <w:rsid w:val="00405468"/>
    <w:rsid w:val="00407468"/>
    <w:rsid w:val="004110C6"/>
    <w:rsid w:val="0041306E"/>
    <w:rsid w:val="00413F70"/>
    <w:rsid w:val="00415394"/>
    <w:rsid w:val="00416279"/>
    <w:rsid w:val="00421CF1"/>
    <w:rsid w:val="00422B3B"/>
    <w:rsid w:val="00423E27"/>
    <w:rsid w:val="00430211"/>
    <w:rsid w:val="00442256"/>
    <w:rsid w:val="00443D28"/>
    <w:rsid w:val="00444808"/>
    <w:rsid w:val="00451DD6"/>
    <w:rsid w:val="004528F6"/>
    <w:rsid w:val="00452C98"/>
    <w:rsid w:val="004564DE"/>
    <w:rsid w:val="00456984"/>
    <w:rsid w:val="00457213"/>
    <w:rsid w:val="00461C71"/>
    <w:rsid w:val="00462C3F"/>
    <w:rsid w:val="00467A70"/>
    <w:rsid w:val="00472C30"/>
    <w:rsid w:val="00481557"/>
    <w:rsid w:val="004818D1"/>
    <w:rsid w:val="00485EFA"/>
    <w:rsid w:val="0049031D"/>
    <w:rsid w:val="004927A4"/>
    <w:rsid w:val="004940ED"/>
    <w:rsid w:val="004949FE"/>
    <w:rsid w:val="00494A55"/>
    <w:rsid w:val="004A320C"/>
    <w:rsid w:val="004A33E1"/>
    <w:rsid w:val="004B017D"/>
    <w:rsid w:val="004C0143"/>
    <w:rsid w:val="004C092B"/>
    <w:rsid w:val="004C2C44"/>
    <w:rsid w:val="004C2CDE"/>
    <w:rsid w:val="004C6DAD"/>
    <w:rsid w:val="004D145C"/>
    <w:rsid w:val="004D2F2D"/>
    <w:rsid w:val="004D30B9"/>
    <w:rsid w:val="004D73B5"/>
    <w:rsid w:val="004E2143"/>
    <w:rsid w:val="004E34E2"/>
    <w:rsid w:val="004E3B17"/>
    <w:rsid w:val="004E4C09"/>
    <w:rsid w:val="004E5799"/>
    <w:rsid w:val="004F0663"/>
    <w:rsid w:val="004F3F29"/>
    <w:rsid w:val="004F63A7"/>
    <w:rsid w:val="0050545F"/>
    <w:rsid w:val="00506025"/>
    <w:rsid w:val="00507390"/>
    <w:rsid w:val="00512202"/>
    <w:rsid w:val="00513635"/>
    <w:rsid w:val="005148B1"/>
    <w:rsid w:val="005236A3"/>
    <w:rsid w:val="00523A1E"/>
    <w:rsid w:val="00524648"/>
    <w:rsid w:val="0053078B"/>
    <w:rsid w:val="00532CBF"/>
    <w:rsid w:val="0053322A"/>
    <w:rsid w:val="00534A4A"/>
    <w:rsid w:val="005355B5"/>
    <w:rsid w:val="005415E2"/>
    <w:rsid w:val="00541B92"/>
    <w:rsid w:val="005443F2"/>
    <w:rsid w:val="00546798"/>
    <w:rsid w:val="00546EA6"/>
    <w:rsid w:val="0055105F"/>
    <w:rsid w:val="00552E2B"/>
    <w:rsid w:val="00565B0B"/>
    <w:rsid w:val="00565F4F"/>
    <w:rsid w:val="00571CBC"/>
    <w:rsid w:val="00576936"/>
    <w:rsid w:val="005816EA"/>
    <w:rsid w:val="00582999"/>
    <w:rsid w:val="00582E87"/>
    <w:rsid w:val="005943C7"/>
    <w:rsid w:val="005A14ED"/>
    <w:rsid w:val="005A3F76"/>
    <w:rsid w:val="005A5A91"/>
    <w:rsid w:val="005A5D10"/>
    <w:rsid w:val="005A66A8"/>
    <w:rsid w:val="005A698E"/>
    <w:rsid w:val="005C59A5"/>
    <w:rsid w:val="005D2163"/>
    <w:rsid w:val="005D2388"/>
    <w:rsid w:val="005E6169"/>
    <w:rsid w:val="005F08C6"/>
    <w:rsid w:val="005F1D1E"/>
    <w:rsid w:val="005F3D04"/>
    <w:rsid w:val="005F3DD9"/>
    <w:rsid w:val="0060180C"/>
    <w:rsid w:val="00602896"/>
    <w:rsid w:val="00605BD2"/>
    <w:rsid w:val="00610299"/>
    <w:rsid w:val="0061355A"/>
    <w:rsid w:val="00616CB8"/>
    <w:rsid w:val="00620C98"/>
    <w:rsid w:val="00621EAE"/>
    <w:rsid w:val="00622EB1"/>
    <w:rsid w:val="00627473"/>
    <w:rsid w:val="00634FFA"/>
    <w:rsid w:val="00635260"/>
    <w:rsid w:val="006436C8"/>
    <w:rsid w:val="00650246"/>
    <w:rsid w:val="00650D8F"/>
    <w:rsid w:val="006543DC"/>
    <w:rsid w:val="00655AF4"/>
    <w:rsid w:val="006614AB"/>
    <w:rsid w:val="0066259D"/>
    <w:rsid w:val="00663E12"/>
    <w:rsid w:val="00663FD1"/>
    <w:rsid w:val="00667AC2"/>
    <w:rsid w:val="00677938"/>
    <w:rsid w:val="00680269"/>
    <w:rsid w:val="0069165B"/>
    <w:rsid w:val="00697461"/>
    <w:rsid w:val="006A1500"/>
    <w:rsid w:val="006A6916"/>
    <w:rsid w:val="006C0D96"/>
    <w:rsid w:val="006C150E"/>
    <w:rsid w:val="006C4EE8"/>
    <w:rsid w:val="006C655E"/>
    <w:rsid w:val="006D150A"/>
    <w:rsid w:val="006D2BB8"/>
    <w:rsid w:val="006E1516"/>
    <w:rsid w:val="006E2109"/>
    <w:rsid w:val="006E370F"/>
    <w:rsid w:val="006E6F1D"/>
    <w:rsid w:val="006E791B"/>
    <w:rsid w:val="006F0925"/>
    <w:rsid w:val="006F1184"/>
    <w:rsid w:val="006F11F8"/>
    <w:rsid w:val="006F2CD9"/>
    <w:rsid w:val="006F332B"/>
    <w:rsid w:val="006F3F12"/>
    <w:rsid w:val="006F5C27"/>
    <w:rsid w:val="007005C2"/>
    <w:rsid w:val="00704CE5"/>
    <w:rsid w:val="00705BE7"/>
    <w:rsid w:val="00711C2D"/>
    <w:rsid w:val="00711C3C"/>
    <w:rsid w:val="00724BDA"/>
    <w:rsid w:val="00724F82"/>
    <w:rsid w:val="00726C6E"/>
    <w:rsid w:val="0072715D"/>
    <w:rsid w:val="00731C0A"/>
    <w:rsid w:val="0073542C"/>
    <w:rsid w:val="0073721F"/>
    <w:rsid w:val="00741074"/>
    <w:rsid w:val="00741A57"/>
    <w:rsid w:val="007439C6"/>
    <w:rsid w:val="007463CA"/>
    <w:rsid w:val="00747469"/>
    <w:rsid w:val="007519B5"/>
    <w:rsid w:val="007527C5"/>
    <w:rsid w:val="00752E3A"/>
    <w:rsid w:val="007567D8"/>
    <w:rsid w:val="0075706C"/>
    <w:rsid w:val="00765002"/>
    <w:rsid w:val="00765531"/>
    <w:rsid w:val="00766C20"/>
    <w:rsid w:val="00771F3E"/>
    <w:rsid w:val="0077274F"/>
    <w:rsid w:val="00775DC2"/>
    <w:rsid w:val="00780238"/>
    <w:rsid w:val="00780764"/>
    <w:rsid w:val="00780D35"/>
    <w:rsid w:val="00782537"/>
    <w:rsid w:val="00782DAE"/>
    <w:rsid w:val="0078343D"/>
    <w:rsid w:val="0078742B"/>
    <w:rsid w:val="00793CB2"/>
    <w:rsid w:val="00793EFC"/>
    <w:rsid w:val="00794DE1"/>
    <w:rsid w:val="007A135A"/>
    <w:rsid w:val="007A456F"/>
    <w:rsid w:val="007B0B2D"/>
    <w:rsid w:val="007B24AD"/>
    <w:rsid w:val="007B3CA4"/>
    <w:rsid w:val="007B4BAB"/>
    <w:rsid w:val="007B6B22"/>
    <w:rsid w:val="007B7B88"/>
    <w:rsid w:val="007C2444"/>
    <w:rsid w:val="007C60E0"/>
    <w:rsid w:val="007D2E31"/>
    <w:rsid w:val="007D5A6B"/>
    <w:rsid w:val="007D617C"/>
    <w:rsid w:val="007E106C"/>
    <w:rsid w:val="007E32E7"/>
    <w:rsid w:val="007E416B"/>
    <w:rsid w:val="007E560B"/>
    <w:rsid w:val="007E5DAF"/>
    <w:rsid w:val="007E7B39"/>
    <w:rsid w:val="007F1195"/>
    <w:rsid w:val="007F3DC8"/>
    <w:rsid w:val="00807777"/>
    <w:rsid w:val="0081271D"/>
    <w:rsid w:val="00816E81"/>
    <w:rsid w:val="008177E9"/>
    <w:rsid w:val="00822FCE"/>
    <w:rsid w:val="0082317D"/>
    <w:rsid w:val="00827DBC"/>
    <w:rsid w:val="00836402"/>
    <w:rsid w:val="008404FD"/>
    <w:rsid w:val="008464DB"/>
    <w:rsid w:val="008510CB"/>
    <w:rsid w:val="00851BCE"/>
    <w:rsid w:val="008573EF"/>
    <w:rsid w:val="00861B55"/>
    <w:rsid w:val="008640C4"/>
    <w:rsid w:val="00864897"/>
    <w:rsid w:val="00865B8E"/>
    <w:rsid w:val="00865C13"/>
    <w:rsid w:val="00872319"/>
    <w:rsid w:val="00873C21"/>
    <w:rsid w:val="00876208"/>
    <w:rsid w:val="00881353"/>
    <w:rsid w:val="00891F6A"/>
    <w:rsid w:val="008A170E"/>
    <w:rsid w:val="008A20C3"/>
    <w:rsid w:val="008A3466"/>
    <w:rsid w:val="008A46D1"/>
    <w:rsid w:val="008A4D43"/>
    <w:rsid w:val="008A77B3"/>
    <w:rsid w:val="008B0E42"/>
    <w:rsid w:val="008B194F"/>
    <w:rsid w:val="008B23BC"/>
    <w:rsid w:val="008B2566"/>
    <w:rsid w:val="008B5870"/>
    <w:rsid w:val="008C5634"/>
    <w:rsid w:val="008D015E"/>
    <w:rsid w:val="008D1CAE"/>
    <w:rsid w:val="008D1F39"/>
    <w:rsid w:val="008D1FD0"/>
    <w:rsid w:val="008D3A63"/>
    <w:rsid w:val="008D72D6"/>
    <w:rsid w:val="008E08AF"/>
    <w:rsid w:val="008E1F7C"/>
    <w:rsid w:val="008E32E6"/>
    <w:rsid w:val="008E474C"/>
    <w:rsid w:val="008F04FD"/>
    <w:rsid w:val="008F47B0"/>
    <w:rsid w:val="008F5A2D"/>
    <w:rsid w:val="00902471"/>
    <w:rsid w:val="00903217"/>
    <w:rsid w:val="00904D20"/>
    <w:rsid w:val="00911534"/>
    <w:rsid w:val="00913697"/>
    <w:rsid w:val="00914614"/>
    <w:rsid w:val="0092236F"/>
    <w:rsid w:val="00922FD4"/>
    <w:rsid w:val="009324FA"/>
    <w:rsid w:val="00933116"/>
    <w:rsid w:val="00936D52"/>
    <w:rsid w:val="00943015"/>
    <w:rsid w:val="00944E4C"/>
    <w:rsid w:val="00945DCC"/>
    <w:rsid w:val="00946234"/>
    <w:rsid w:val="00950871"/>
    <w:rsid w:val="00953F07"/>
    <w:rsid w:val="009602A7"/>
    <w:rsid w:val="009630B4"/>
    <w:rsid w:val="00965AEB"/>
    <w:rsid w:val="00966C50"/>
    <w:rsid w:val="00973B94"/>
    <w:rsid w:val="009764E3"/>
    <w:rsid w:val="00976E63"/>
    <w:rsid w:val="009802F2"/>
    <w:rsid w:val="00991693"/>
    <w:rsid w:val="00992628"/>
    <w:rsid w:val="0099332A"/>
    <w:rsid w:val="009A5CA4"/>
    <w:rsid w:val="009A7CFB"/>
    <w:rsid w:val="009A7FBB"/>
    <w:rsid w:val="009B1935"/>
    <w:rsid w:val="009C1B7F"/>
    <w:rsid w:val="009C3D26"/>
    <w:rsid w:val="009C5279"/>
    <w:rsid w:val="009D19FC"/>
    <w:rsid w:val="009D3835"/>
    <w:rsid w:val="009D43C3"/>
    <w:rsid w:val="009D766B"/>
    <w:rsid w:val="009D7BC3"/>
    <w:rsid w:val="009E23FB"/>
    <w:rsid w:val="009E449F"/>
    <w:rsid w:val="009E64FD"/>
    <w:rsid w:val="009E7D01"/>
    <w:rsid w:val="009E7D04"/>
    <w:rsid w:val="009F3A80"/>
    <w:rsid w:val="009F4162"/>
    <w:rsid w:val="009F64FF"/>
    <w:rsid w:val="00A04EA3"/>
    <w:rsid w:val="00A11E6B"/>
    <w:rsid w:val="00A14AEF"/>
    <w:rsid w:val="00A206C8"/>
    <w:rsid w:val="00A234F1"/>
    <w:rsid w:val="00A26948"/>
    <w:rsid w:val="00A27176"/>
    <w:rsid w:val="00A30BF0"/>
    <w:rsid w:val="00A32725"/>
    <w:rsid w:val="00A427F8"/>
    <w:rsid w:val="00A45676"/>
    <w:rsid w:val="00A478BD"/>
    <w:rsid w:val="00A5288F"/>
    <w:rsid w:val="00A55029"/>
    <w:rsid w:val="00A605EA"/>
    <w:rsid w:val="00A62C0B"/>
    <w:rsid w:val="00A66320"/>
    <w:rsid w:val="00A723B4"/>
    <w:rsid w:val="00A804F5"/>
    <w:rsid w:val="00A91AD4"/>
    <w:rsid w:val="00A91FDD"/>
    <w:rsid w:val="00A941F6"/>
    <w:rsid w:val="00A95FB6"/>
    <w:rsid w:val="00AA1DA5"/>
    <w:rsid w:val="00AA53A1"/>
    <w:rsid w:val="00AB2F9A"/>
    <w:rsid w:val="00AB3A51"/>
    <w:rsid w:val="00AB55B7"/>
    <w:rsid w:val="00AB62FF"/>
    <w:rsid w:val="00AC2D2C"/>
    <w:rsid w:val="00AC4425"/>
    <w:rsid w:val="00AC72AB"/>
    <w:rsid w:val="00AD1A5E"/>
    <w:rsid w:val="00AD2EC0"/>
    <w:rsid w:val="00AE2A5C"/>
    <w:rsid w:val="00AE3284"/>
    <w:rsid w:val="00AE32E8"/>
    <w:rsid w:val="00AE5424"/>
    <w:rsid w:val="00AF3332"/>
    <w:rsid w:val="00AF6DC7"/>
    <w:rsid w:val="00B01A87"/>
    <w:rsid w:val="00B05720"/>
    <w:rsid w:val="00B067B6"/>
    <w:rsid w:val="00B07D8E"/>
    <w:rsid w:val="00B12C86"/>
    <w:rsid w:val="00B249FF"/>
    <w:rsid w:val="00B26FCE"/>
    <w:rsid w:val="00B47A3D"/>
    <w:rsid w:val="00B47E60"/>
    <w:rsid w:val="00B60907"/>
    <w:rsid w:val="00B6119F"/>
    <w:rsid w:val="00B6477D"/>
    <w:rsid w:val="00B657CF"/>
    <w:rsid w:val="00B677EA"/>
    <w:rsid w:val="00B715B2"/>
    <w:rsid w:val="00B753A3"/>
    <w:rsid w:val="00B774E4"/>
    <w:rsid w:val="00B77974"/>
    <w:rsid w:val="00B8014F"/>
    <w:rsid w:val="00B80E50"/>
    <w:rsid w:val="00B81D00"/>
    <w:rsid w:val="00B85510"/>
    <w:rsid w:val="00B95E0D"/>
    <w:rsid w:val="00B9637F"/>
    <w:rsid w:val="00BA395B"/>
    <w:rsid w:val="00BA5B8D"/>
    <w:rsid w:val="00BB1494"/>
    <w:rsid w:val="00BB52D3"/>
    <w:rsid w:val="00BB5851"/>
    <w:rsid w:val="00BB5FD5"/>
    <w:rsid w:val="00BC16DE"/>
    <w:rsid w:val="00BC3EC8"/>
    <w:rsid w:val="00BC7F01"/>
    <w:rsid w:val="00BD18D4"/>
    <w:rsid w:val="00BE3916"/>
    <w:rsid w:val="00BF3575"/>
    <w:rsid w:val="00C00414"/>
    <w:rsid w:val="00C01BBF"/>
    <w:rsid w:val="00C027FA"/>
    <w:rsid w:val="00C03C69"/>
    <w:rsid w:val="00C03F63"/>
    <w:rsid w:val="00C11196"/>
    <w:rsid w:val="00C13C95"/>
    <w:rsid w:val="00C149A6"/>
    <w:rsid w:val="00C179DC"/>
    <w:rsid w:val="00C2188E"/>
    <w:rsid w:val="00C27435"/>
    <w:rsid w:val="00C2774A"/>
    <w:rsid w:val="00C30326"/>
    <w:rsid w:val="00C308D2"/>
    <w:rsid w:val="00C33994"/>
    <w:rsid w:val="00C33C91"/>
    <w:rsid w:val="00C4091F"/>
    <w:rsid w:val="00C41B4B"/>
    <w:rsid w:val="00C46E30"/>
    <w:rsid w:val="00C47C70"/>
    <w:rsid w:val="00C502B1"/>
    <w:rsid w:val="00C70AD2"/>
    <w:rsid w:val="00C82789"/>
    <w:rsid w:val="00C8321C"/>
    <w:rsid w:val="00C83EFF"/>
    <w:rsid w:val="00C84ABE"/>
    <w:rsid w:val="00C87FDC"/>
    <w:rsid w:val="00C90953"/>
    <w:rsid w:val="00C95C74"/>
    <w:rsid w:val="00C97508"/>
    <w:rsid w:val="00C97DA6"/>
    <w:rsid w:val="00CA0C0A"/>
    <w:rsid w:val="00CA2D1F"/>
    <w:rsid w:val="00CB2FDC"/>
    <w:rsid w:val="00CC15D5"/>
    <w:rsid w:val="00CC4624"/>
    <w:rsid w:val="00CC608C"/>
    <w:rsid w:val="00CD3A1C"/>
    <w:rsid w:val="00CD694B"/>
    <w:rsid w:val="00CE1DCB"/>
    <w:rsid w:val="00CE5AF4"/>
    <w:rsid w:val="00CF0113"/>
    <w:rsid w:val="00CF287C"/>
    <w:rsid w:val="00CF3AAB"/>
    <w:rsid w:val="00D041CB"/>
    <w:rsid w:val="00D046AE"/>
    <w:rsid w:val="00D104F0"/>
    <w:rsid w:val="00D12174"/>
    <w:rsid w:val="00D12EE4"/>
    <w:rsid w:val="00D165F1"/>
    <w:rsid w:val="00D17329"/>
    <w:rsid w:val="00D2189A"/>
    <w:rsid w:val="00D27AD6"/>
    <w:rsid w:val="00D3182D"/>
    <w:rsid w:val="00D31EE9"/>
    <w:rsid w:val="00D366F7"/>
    <w:rsid w:val="00D419FD"/>
    <w:rsid w:val="00D4380C"/>
    <w:rsid w:val="00D479EE"/>
    <w:rsid w:val="00D50200"/>
    <w:rsid w:val="00D51A70"/>
    <w:rsid w:val="00D553D7"/>
    <w:rsid w:val="00D61799"/>
    <w:rsid w:val="00D61F32"/>
    <w:rsid w:val="00D63E3E"/>
    <w:rsid w:val="00D64B18"/>
    <w:rsid w:val="00D658D1"/>
    <w:rsid w:val="00D66DC0"/>
    <w:rsid w:val="00D806BF"/>
    <w:rsid w:val="00D81B7D"/>
    <w:rsid w:val="00D82C94"/>
    <w:rsid w:val="00D832F1"/>
    <w:rsid w:val="00D854E8"/>
    <w:rsid w:val="00D9264F"/>
    <w:rsid w:val="00DA4898"/>
    <w:rsid w:val="00DB4B0A"/>
    <w:rsid w:val="00DB4F1D"/>
    <w:rsid w:val="00DB5F93"/>
    <w:rsid w:val="00DB6792"/>
    <w:rsid w:val="00DC53A3"/>
    <w:rsid w:val="00DD4164"/>
    <w:rsid w:val="00DE1C65"/>
    <w:rsid w:val="00DE3CD8"/>
    <w:rsid w:val="00DE4C70"/>
    <w:rsid w:val="00DF5195"/>
    <w:rsid w:val="00E025C5"/>
    <w:rsid w:val="00E12EC9"/>
    <w:rsid w:val="00E13132"/>
    <w:rsid w:val="00E20BEC"/>
    <w:rsid w:val="00E2315B"/>
    <w:rsid w:val="00E274FC"/>
    <w:rsid w:val="00E329E8"/>
    <w:rsid w:val="00E333F6"/>
    <w:rsid w:val="00E444BB"/>
    <w:rsid w:val="00E4454C"/>
    <w:rsid w:val="00E44C8C"/>
    <w:rsid w:val="00E560B5"/>
    <w:rsid w:val="00E57264"/>
    <w:rsid w:val="00E62D82"/>
    <w:rsid w:val="00E64B6B"/>
    <w:rsid w:val="00E65F7D"/>
    <w:rsid w:val="00E6708E"/>
    <w:rsid w:val="00E707A4"/>
    <w:rsid w:val="00E720EE"/>
    <w:rsid w:val="00E738F9"/>
    <w:rsid w:val="00E816C9"/>
    <w:rsid w:val="00E83046"/>
    <w:rsid w:val="00E93160"/>
    <w:rsid w:val="00E93B0B"/>
    <w:rsid w:val="00E9597F"/>
    <w:rsid w:val="00E96EF8"/>
    <w:rsid w:val="00EA0836"/>
    <w:rsid w:val="00EA6070"/>
    <w:rsid w:val="00ED097B"/>
    <w:rsid w:val="00ED2ADF"/>
    <w:rsid w:val="00ED6AC5"/>
    <w:rsid w:val="00EE2614"/>
    <w:rsid w:val="00EE3C45"/>
    <w:rsid w:val="00EE5366"/>
    <w:rsid w:val="00EF2562"/>
    <w:rsid w:val="00EF2C07"/>
    <w:rsid w:val="00EF2E0A"/>
    <w:rsid w:val="00EF2F5F"/>
    <w:rsid w:val="00EF384A"/>
    <w:rsid w:val="00EF6035"/>
    <w:rsid w:val="00EF7F83"/>
    <w:rsid w:val="00F02D87"/>
    <w:rsid w:val="00F03C14"/>
    <w:rsid w:val="00F0629D"/>
    <w:rsid w:val="00F11CB1"/>
    <w:rsid w:val="00F13442"/>
    <w:rsid w:val="00F1584B"/>
    <w:rsid w:val="00F300B6"/>
    <w:rsid w:val="00F30B2D"/>
    <w:rsid w:val="00F37972"/>
    <w:rsid w:val="00F43A28"/>
    <w:rsid w:val="00F44315"/>
    <w:rsid w:val="00F450B5"/>
    <w:rsid w:val="00F45BE1"/>
    <w:rsid w:val="00F45CED"/>
    <w:rsid w:val="00F45EEB"/>
    <w:rsid w:val="00F4649E"/>
    <w:rsid w:val="00F5184E"/>
    <w:rsid w:val="00F55AE3"/>
    <w:rsid w:val="00F55CCE"/>
    <w:rsid w:val="00F636F4"/>
    <w:rsid w:val="00F65068"/>
    <w:rsid w:val="00F659A2"/>
    <w:rsid w:val="00F667CA"/>
    <w:rsid w:val="00F66AD9"/>
    <w:rsid w:val="00F72912"/>
    <w:rsid w:val="00F73A40"/>
    <w:rsid w:val="00F75FA0"/>
    <w:rsid w:val="00F86E2C"/>
    <w:rsid w:val="00F86F7C"/>
    <w:rsid w:val="00F949B0"/>
    <w:rsid w:val="00F953C5"/>
    <w:rsid w:val="00F95856"/>
    <w:rsid w:val="00F97BAA"/>
    <w:rsid w:val="00FA60CD"/>
    <w:rsid w:val="00FB2ABB"/>
    <w:rsid w:val="00FB5749"/>
    <w:rsid w:val="00FC2EC6"/>
    <w:rsid w:val="00FD18DA"/>
    <w:rsid w:val="00FD4938"/>
    <w:rsid w:val="00FD4B06"/>
    <w:rsid w:val="00FD61E7"/>
    <w:rsid w:val="00FD6857"/>
    <w:rsid w:val="00FE55F4"/>
    <w:rsid w:val="00FE6EA9"/>
    <w:rsid w:val="00FF05EB"/>
    <w:rsid w:val="00FF4F46"/>
    <w:rsid w:val="00FF7879"/>
    <w:rsid w:val="00FF7B1D"/>
    <w:rsid w:val="02C643D7"/>
    <w:rsid w:val="054B03CE"/>
    <w:rsid w:val="077F681A"/>
    <w:rsid w:val="10016A04"/>
    <w:rsid w:val="135B79B2"/>
    <w:rsid w:val="158D0CC0"/>
    <w:rsid w:val="186E1826"/>
    <w:rsid w:val="1917011C"/>
    <w:rsid w:val="1B903C7C"/>
    <w:rsid w:val="1BEE6720"/>
    <w:rsid w:val="1DC57B65"/>
    <w:rsid w:val="2618475A"/>
    <w:rsid w:val="27753F71"/>
    <w:rsid w:val="3019469A"/>
    <w:rsid w:val="305E6227"/>
    <w:rsid w:val="31AF7D4A"/>
    <w:rsid w:val="354A61C5"/>
    <w:rsid w:val="38A71A9B"/>
    <w:rsid w:val="399670D5"/>
    <w:rsid w:val="3E290088"/>
    <w:rsid w:val="409363C0"/>
    <w:rsid w:val="40960EC7"/>
    <w:rsid w:val="42C81281"/>
    <w:rsid w:val="42EE65B2"/>
    <w:rsid w:val="45A535AF"/>
    <w:rsid w:val="48056E9D"/>
    <w:rsid w:val="495050E3"/>
    <w:rsid w:val="5B9439AB"/>
    <w:rsid w:val="5BD26F19"/>
    <w:rsid w:val="62730753"/>
    <w:rsid w:val="6F065103"/>
    <w:rsid w:val="6FA726A1"/>
    <w:rsid w:val="74297589"/>
    <w:rsid w:val="79B50836"/>
    <w:rsid w:val="7B6C03FA"/>
    <w:rsid w:val="7F2E1C8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qFormat="1"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character" w:styleId="8">
    <w:name w:val="Emphasis"/>
    <w:basedOn w:val="7"/>
    <w:qFormat/>
    <w:locked/>
    <w:uiPriority w:val="0"/>
    <w:rPr>
      <w:i/>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styleId="10">
    <w:name w:val="footnote reference"/>
    <w:basedOn w:val="7"/>
    <w:semiHidden/>
    <w:unhideWhenUsed/>
    <w:qFormat/>
    <w:uiPriority w:val="99"/>
    <w:rPr>
      <w:vertAlign w:val="superscript"/>
    </w:rPr>
  </w:style>
  <w:style w:type="character" w:customStyle="1" w:styleId="11">
    <w:name w:val="页脚 字符"/>
    <w:basedOn w:val="7"/>
    <w:link w:val="3"/>
    <w:semiHidden/>
    <w:qFormat/>
    <w:locked/>
    <w:uiPriority w:val="99"/>
    <w:rPr>
      <w:rFonts w:cs="Times New Roman"/>
      <w:sz w:val="18"/>
      <w:szCs w:val="18"/>
    </w:rPr>
  </w:style>
  <w:style w:type="character" w:customStyle="1" w:styleId="12">
    <w:name w:val="页眉 字符"/>
    <w:basedOn w:val="7"/>
    <w:link w:val="4"/>
    <w:semiHidden/>
    <w:qFormat/>
    <w:locked/>
    <w:uiPriority w:val="99"/>
    <w:rPr>
      <w:rFonts w:cs="Times New Roman"/>
      <w:sz w:val="18"/>
      <w:szCs w:val="18"/>
    </w:rPr>
  </w:style>
  <w:style w:type="character" w:customStyle="1" w:styleId="13">
    <w:name w:val="脚注文本 字符"/>
    <w:basedOn w:val="7"/>
    <w:link w:val="5"/>
    <w:semiHidden/>
    <w:qFormat/>
    <w:uiPriority w:val="99"/>
    <w:rPr>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A55CD-CFFF-46A7-A820-0224B99D490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1118</Words>
  <Characters>6377</Characters>
  <Lines>53</Lines>
  <Paragraphs>14</Paragraphs>
  <TotalTime>0</TotalTime>
  <ScaleCrop>false</ScaleCrop>
  <LinksUpToDate>false</LinksUpToDate>
  <CharactersWithSpaces>7481</CharactersWithSpaces>
  <Application>WPS Office_11.1.0.9208_F1E327BC-269C-435d-A152-05C5408002CA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2019-10-21T12:24:00Z</dcterms:created>
  <dc:creator>Administrator</dc:creator>
  <lastModifiedBy>HH</lastModifiedBy>
  <dcterms:modified xsi:type="dcterms:W3CDTF">2019-11-29T02:50:10Z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KSORubyTemplateID" linkTarget="0">
    <vt:lpwstr>6</vt:lpwstr>
  </property>
</Properties>
</file>