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教育目标分类法指导下《高级英语》课程</w:t>
      </w:r>
    </w:p>
    <w:p>
      <w:pPr>
        <w:jc w:val="center"/>
        <w:rPr>
          <w:rFonts w:ascii="黑体" w:hAnsi="黑体" w:eastAsia="黑体"/>
          <w:b/>
          <w:sz w:val="32"/>
          <w:szCs w:val="32"/>
        </w:rPr>
      </w:pPr>
      <w:r>
        <w:rPr>
          <w:rFonts w:hint="eastAsia" w:ascii="黑体" w:hAnsi="黑体" w:eastAsia="黑体"/>
          <w:b/>
          <w:sz w:val="32"/>
          <w:szCs w:val="32"/>
        </w:rPr>
        <w:t>学生评价体系的建构</w:t>
      </w:r>
      <w:r>
        <w:rPr>
          <w:rStyle w:val="14"/>
          <w:rFonts w:ascii="黑体" w:hAnsi="黑体" w:eastAsia="黑体"/>
          <w:b/>
          <w:sz w:val="32"/>
          <w:szCs w:val="32"/>
        </w:rPr>
        <w:footnoteReference w:id="0"/>
      </w:r>
    </w:p>
    <w:p>
      <w:pPr>
        <w:jc w:val="center"/>
        <w:rPr>
          <w:b/>
          <w:szCs w:val="21"/>
        </w:rPr>
      </w:pPr>
      <w:r>
        <w:rPr>
          <w:rFonts w:hint="eastAsia" w:ascii="宋体" w:hAnsi="宋体"/>
          <w:szCs w:val="21"/>
        </w:rPr>
        <w:t>郑瑞珺</w:t>
      </w:r>
    </w:p>
    <w:p>
      <w:pPr>
        <w:jc w:val="center"/>
        <w:rPr>
          <w:rFonts w:ascii="宋体" w:hAnsi="宋体"/>
          <w:szCs w:val="21"/>
        </w:rPr>
      </w:pPr>
      <w:r>
        <w:rPr>
          <w:rFonts w:hint="eastAsia" w:ascii="宋体" w:hAnsi="宋体"/>
          <w:szCs w:val="21"/>
        </w:rPr>
        <w:t>（四川外国语大学国际关系学院，重庆 400031）</w:t>
      </w:r>
    </w:p>
    <w:p>
      <w:pPr>
        <w:spacing w:line="440" w:lineRule="atLeast"/>
        <w:ind w:firstLine="422" w:firstLineChars="200"/>
        <w:rPr>
          <w:rFonts w:ascii="宋体" w:hAnsi="宋体"/>
          <w:szCs w:val="21"/>
        </w:rPr>
      </w:pPr>
      <w:r>
        <w:rPr>
          <w:rFonts w:ascii="宋体" w:hAnsi="宋体"/>
          <w:b/>
          <w:szCs w:val="21"/>
        </w:rPr>
        <w:t>摘</w:t>
      </w:r>
      <w:r>
        <w:rPr>
          <w:rFonts w:hint="eastAsia" w:ascii="宋体" w:hAnsi="宋体"/>
          <w:b/>
          <w:szCs w:val="21"/>
        </w:rPr>
        <w:t xml:space="preserve"> </w:t>
      </w:r>
      <w:r>
        <w:rPr>
          <w:rFonts w:ascii="宋体" w:hAnsi="宋体"/>
          <w:b/>
          <w:szCs w:val="21"/>
        </w:rPr>
        <w:t>要</w:t>
      </w:r>
      <w:r>
        <w:rPr>
          <w:rFonts w:hint="eastAsia" w:ascii="宋体" w:hAnsi="宋体"/>
          <w:b/>
          <w:szCs w:val="21"/>
        </w:rPr>
        <w:t>：</w:t>
      </w:r>
      <w:r>
        <w:rPr>
          <w:rFonts w:hint="eastAsia" w:ascii="宋体" w:hAnsi="宋体"/>
          <w:szCs w:val="21"/>
        </w:rPr>
        <w:t>教育目标分类法把教育目标分为知识维度和认知维度。在外语专业复合型人才培养框架下，运用教育目标分类法指导“形成性评价为主，总结性评价为辅”的《高级英语》课程学生评价体系，有利于促进教学质量，控制调整教学内容，同时能反拨评价体系，完善评价体系。</w:t>
      </w:r>
    </w:p>
    <w:p>
      <w:pPr>
        <w:spacing w:line="360" w:lineRule="auto"/>
        <w:ind w:left="842" w:leftChars="200" w:hanging="422" w:hangingChars="200"/>
        <w:rPr>
          <w:rFonts w:ascii="宋体" w:hAnsi="宋体"/>
          <w:szCs w:val="21"/>
        </w:rPr>
      </w:pPr>
      <w:r>
        <w:rPr>
          <w:rFonts w:hint="eastAsia" w:ascii="宋体" w:hAnsi="宋体"/>
          <w:b/>
          <w:szCs w:val="21"/>
        </w:rPr>
        <w:t>关键词：</w:t>
      </w:r>
      <w:r>
        <w:rPr>
          <w:rFonts w:hint="eastAsia" w:ascii="宋体" w:hAnsi="宋体"/>
          <w:szCs w:val="21"/>
        </w:rPr>
        <w:t>教育目标分类法；高级英语；评价体系</w:t>
      </w:r>
    </w:p>
    <w:p>
      <w:pPr>
        <w:spacing w:line="360" w:lineRule="auto"/>
        <w:ind w:firstLine="422" w:firstLineChars="200"/>
        <w:rPr>
          <w:rFonts w:ascii="宋体" w:hAnsi="宋体"/>
          <w:szCs w:val="21"/>
        </w:rPr>
      </w:pPr>
      <w:r>
        <w:rPr>
          <w:rFonts w:ascii="宋体" w:hAnsi="宋体"/>
          <w:b/>
          <w:szCs w:val="21"/>
        </w:rPr>
        <w:t>中图分类号</w:t>
      </w:r>
      <w:r>
        <w:rPr>
          <w:rFonts w:hint="eastAsia" w:ascii="宋体" w:hAnsi="宋体"/>
          <w:b/>
          <w:szCs w:val="21"/>
        </w:rPr>
        <w:t>：</w:t>
      </w:r>
      <w:r>
        <w:rPr>
          <w:rFonts w:hint="eastAsia" w:ascii="宋体" w:hAnsi="宋体"/>
          <w:szCs w:val="21"/>
        </w:rPr>
        <w:t>H319.1</w:t>
      </w:r>
      <w:r>
        <w:rPr>
          <w:rFonts w:ascii="宋体" w:hAnsi="宋体"/>
          <w:szCs w:val="21"/>
        </w:rPr>
        <w:t xml:space="preserve"> </w:t>
      </w:r>
      <w:r>
        <w:rPr>
          <w:rFonts w:hint="eastAsia" w:ascii="宋体" w:hAnsi="宋体"/>
          <w:szCs w:val="21"/>
        </w:rPr>
        <w:t xml:space="preserve"> </w:t>
      </w:r>
      <w:r>
        <w:rPr>
          <w:rFonts w:hint="eastAsia" w:ascii="宋体" w:hAnsi="宋体"/>
          <w:b/>
          <w:szCs w:val="21"/>
        </w:rPr>
        <w:t>文献标识码</w:t>
      </w:r>
      <w:r>
        <w:rPr>
          <w:rFonts w:hint="eastAsia" w:ascii="宋体" w:hAnsi="宋体"/>
          <w:szCs w:val="21"/>
        </w:rPr>
        <w:t>：A</w:t>
      </w:r>
      <w:r>
        <w:rPr>
          <w:rFonts w:ascii="宋体" w:hAnsi="宋体"/>
          <w:szCs w:val="21"/>
        </w:rPr>
        <w:t xml:space="preserve"> </w:t>
      </w:r>
      <w:r>
        <w:rPr>
          <w:rFonts w:ascii="宋体" w:hAnsi="宋体"/>
          <w:b/>
          <w:szCs w:val="21"/>
        </w:rPr>
        <w:t xml:space="preserve"> </w:t>
      </w:r>
      <w:r>
        <w:rPr>
          <w:rFonts w:hint="eastAsia" w:ascii="宋体" w:hAnsi="宋体"/>
          <w:b/>
          <w:szCs w:val="21"/>
        </w:rPr>
        <w:t>文章编号：</w:t>
      </w:r>
    </w:p>
    <w:p>
      <w:pPr>
        <w:spacing w:line="300" w:lineRule="auto"/>
        <w:rPr>
          <w:rFonts w:ascii="宋体" w:hAnsi="宋体"/>
          <w:sz w:val="28"/>
          <w:szCs w:val="28"/>
        </w:rPr>
      </w:pPr>
      <w:r>
        <w:rPr>
          <w:rStyle w:val="14"/>
          <w:rFonts w:ascii="宋体" w:hAnsi="宋体"/>
          <w:sz w:val="28"/>
          <w:szCs w:val="28"/>
        </w:rPr>
        <w:footnoteReference w:id="1" w:customMarkFollows="1"/>
        <w:sym w:font="Symbol" w:char="F020"/>
      </w:r>
    </w:p>
    <w:p>
      <w:pPr>
        <w:ind w:firstLine="482" w:firstLineChars="200"/>
        <w:rPr>
          <w:rFonts w:ascii="宋体" w:hAnsi="宋体"/>
          <w:b/>
          <w:sz w:val="24"/>
        </w:rPr>
      </w:pPr>
      <w:r>
        <w:rPr>
          <w:rFonts w:ascii="宋体" w:hAnsi="宋体"/>
          <w:b/>
          <w:sz w:val="24"/>
        </w:rPr>
        <w:t>引言</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2000年，《高等学校英语专业英语教学大纲》（简称《大纲》）提出“外语专业复合型人才”这一培养目标。基于《大纲》中提到的扎实的语言基本功和丰富的人文学科知识和科技知识要求，不少学科的研究者结合布鲁姆教育目标分类法提出教学改革方案，认为对于</w:t>
      </w:r>
      <w:r>
        <w:rPr>
          <w:rFonts w:asciiTheme="minorEastAsia" w:hAnsiTheme="minorEastAsia" w:eastAsiaTheme="minorEastAsia"/>
          <w:szCs w:val="21"/>
        </w:rPr>
        <w:t>相同的知识类型来说, 可以有多种不同的认知过程</w:t>
      </w:r>
      <w:r>
        <w:rPr>
          <w:rFonts w:hint="eastAsia" w:asciiTheme="minorEastAsia" w:hAnsiTheme="minorEastAsia" w:eastAsiaTheme="minorEastAsia"/>
          <w:szCs w:val="21"/>
        </w:rPr>
        <w:t>，并</w:t>
      </w:r>
      <w:r>
        <w:rPr>
          <w:rFonts w:asciiTheme="minorEastAsia" w:hAnsiTheme="minorEastAsia" w:eastAsiaTheme="minorEastAsia"/>
          <w:szCs w:val="21"/>
        </w:rPr>
        <w:t>形成不同的教学目标。不同的教学目标决定了教学过程的不同</w:t>
      </w:r>
      <w:r>
        <w:rPr>
          <w:rFonts w:asciiTheme="minorEastAsia" w:hAnsiTheme="minorEastAsia" w:eastAsiaTheme="minorEastAsia"/>
          <w:szCs w:val="21"/>
          <w:vertAlign w:val="superscript"/>
        </w:rPr>
        <w:t>[1]</w:t>
      </w:r>
      <w:r>
        <w:rPr>
          <w:rFonts w:hint="eastAsia" w:asciiTheme="minorEastAsia" w:hAnsiTheme="minorEastAsia" w:eastAsiaTheme="minorEastAsia"/>
          <w:szCs w:val="21"/>
        </w:rPr>
        <w:t>。上述认知对英语教学具体课程的思考、改革也清晰可见。</w:t>
      </w:r>
      <w:r>
        <w:rPr>
          <w:rFonts w:asciiTheme="minorEastAsia" w:hAnsiTheme="minorEastAsia" w:eastAsiaTheme="minorEastAsia"/>
          <w:szCs w:val="21"/>
        </w:rPr>
        <w:t>学生评价是课程改革的中心和重心</w:t>
      </w:r>
      <w:r>
        <w:rPr>
          <w:rFonts w:hint="eastAsia" w:asciiTheme="minorEastAsia" w:hAnsiTheme="minorEastAsia" w:eastAsiaTheme="minorEastAsia"/>
          <w:szCs w:val="21"/>
        </w:rPr>
        <w:t>，</w:t>
      </w:r>
      <w:r>
        <w:rPr>
          <w:rFonts w:asciiTheme="minorEastAsia" w:hAnsiTheme="minorEastAsia" w:eastAsiaTheme="minorEastAsia"/>
          <w:szCs w:val="21"/>
        </w:rPr>
        <w:t>学生评价的目的功能、目标体系和方式方法直接影响着课程培养目标的实现和课程功能的转向与落实</w:t>
      </w:r>
      <w:r>
        <w:rPr>
          <w:rFonts w:hint="eastAsia" w:asciiTheme="minorEastAsia" w:hAnsiTheme="minorEastAsia" w:eastAsiaTheme="minorEastAsia"/>
          <w:szCs w:val="21"/>
        </w:rPr>
        <w:t>，</w:t>
      </w:r>
      <w:r>
        <w:rPr>
          <w:rFonts w:asciiTheme="minorEastAsia" w:hAnsiTheme="minorEastAsia" w:eastAsiaTheme="minorEastAsia"/>
          <w:szCs w:val="21"/>
        </w:rPr>
        <w:t>对课程实施起着重要的导向和质量监控的作用</w:t>
      </w:r>
      <w:r>
        <w:rPr>
          <w:rStyle w:val="11"/>
          <w:rFonts w:asciiTheme="minorEastAsia" w:hAnsiTheme="minorEastAsia" w:eastAsiaTheme="minorEastAsia"/>
          <w:szCs w:val="21"/>
        </w:rPr>
        <w:t>[2]</w:t>
      </w:r>
      <w:r>
        <w:rPr>
          <w:rFonts w:asciiTheme="minorEastAsia" w:hAnsiTheme="minorEastAsia" w:eastAsiaTheme="minorEastAsia"/>
          <w:szCs w:val="21"/>
        </w:rPr>
        <w:t>。在大学英语</w:t>
      </w:r>
      <w:r>
        <w:rPr>
          <w:rFonts w:hint="eastAsia" w:asciiTheme="minorEastAsia" w:hAnsiTheme="minorEastAsia" w:eastAsiaTheme="minorEastAsia"/>
          <w:szCs w:val="21"/>
        </w:rPr>
        <w:t>教学</w:t>
      </w:r>
      <w:r>
        <w:rPr>
          <w:rFonts w:asciiTheme="minorEastAsia" w:hAnsiTheme="minorEastAsia" w:eastAsiaTheme="minorEastAsia"/>
          <w:szCs w:val="21"/>
        </w:rPr>
        <w:t>方面</w:t>
      </w:r>
      <w:r>
        <w:rPr>
          <w:rFonts w:hint="eastAsia" w:asciiTheme="minorEastAsia" w:hAnsiTheme="minorEastAsia" w:eastAsiaTheme="minorEastAsia"/>
          <w:szCs w:val="21"/>
        </w:rPr>
        <w:t>，祝珣、马文静认为</w:t>
      </w:r>
      <w:r>
        <w:rPr>
          <w:rFonts w:asciiTheme="minorEastAsia" w:hAnsiTheme="minorEastAsia" w:eastAsiaTheme="minorEastAsia"/>
          <w:szCs w:val="21"/>
        </w:rPr>
        <w:t>布鲁姆认知领域教育目标分类理论有助于研究者和教师重新解读大学英语阅读教学指导性文件</w:t>
      </w:r>
      <w:r>
        <w:rPr>
          <w:rFonts w:hint="eastAsia" w:asciiTheme="minorEastAsia" w:hAnsiTheme="minorEastAsia" w:eastAsiaTheme="minorEastAsia"/>
          <w:szCs w:val="21"/>
        </w:rPr>
        <w:t>，</w:t>
      </w:r>
      <w:r>
        <w:rPr>
          <w:rFonts w:asciiTheme="minorEastAsia" w:hAnsiTheme="minorEastAsia" w:eastAsiaTheme="minorEastAsia"/>
          <w:szCs w:val="21"/>
        </w:rPr>
        <w:t>从而制定分维度多层次教学目标</w:t>
      </w:r>
      <w:r>
        <w:rPr>
          <w:rFonts w:hint="eastAsia" w:asciiTheme="minorEastAsia" w:hAnsiTheme="minorEastAsia" w:eastAsiaTheme="minorEastAsia"/>
          <w:szCs w:val="21"/>
        </w:rPr>
        <w:t>，</w:t>
      </w:r>
      <w:r>
        <w:rPr>
          <w:rFonts w:asciiTheme="minorEastAsia" w:hAnsiTheme="minorEastAsia" w:eastAsiaTheme="minorEastAsia"/>
          <w:szCs w:val="21"/>
        </w:rPr>
        <w:t>改善教学方法</w:t>
      </w:r>
      <w:r>
        <w:rPr>
          <w:rFonts w:asciiTheme="minorEastAsia" w:hAnsiTheme="minorEastAsia" w:eastAsiaTheme="minorEastAsia"/>
          <w:szCs w:val="21"/>
          <w:vertAlign w:val="superscript"/>
        </w:rPr>
        <w:t>[3]</w:t>
      </w:r>
      <w:r>
        <w:rPr>
          <w:rFonts w:hint="eastAsia" w:asciiTheme="minorEastAsia" w:hAnsiTheme="minorEastAsia" w:eastAsiaTheme="minorEastAsia"/>
          <w:szCs w:val="21"/>
        </w:rPr>
        <w:t>。然而，对于英语专业教学来说，特别是培养学生“超基本功”能力的高年级课程，却仍然采用传统的、与低年级教学无太大差别的教学方式和评价体系。因此，本文拟通过对英语专业115名高年级学生的调查访谈，来探讨以教育目标分类法为理论基础的英语专业高年级核心课程《高级英语》学生评价体系构建方法。</w:t>
      </w:r>
      <w:r>
        <w:rPr>
          <w:rFonts w:asciiTheme="minorEastAsia" w:hAnsiTheme="minorEastAsia" w:eastAsiaTheme="minorEastAsia"/>
          <w:szCs w:val="21"/>
        </w:rPr>
        <w:t xml:space="preserve"> </w:t>
      </w:r>
    </w:p>
    <w:p>
      <w:pPr>
        <w:spacing w:line="4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一、学生评价体系现状</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自上世纪90年代以来，“为学习的评价”（</w:t>
      </w:r>
      <w:r>
        <w:rPr>
          <w:rFonts w:eastAsiaTheme="minorEastAsia"/>
          <w:szCs w:val="21"/>
        </w:rPr>
        <w:t>Assessment for Learning</w:t>
      </w:r>
      <w:r>
        <w:rPr>
          <w:rFonts w:hint="eastAsia" w:asciiTheme="minorEastAsia" w:hAnsiTheme="minorEastAsia" w:eastAsiaTheme="minorEastAsia"/>
          <w:szCs w:val="21"/>
        </w:rPr>
        <w:t>）这一评价方式在西方教育领域兴起，特别是基础教育领域。其核心理念为“促进学生的学习”</w:t>
      </w:r>
      <w:r>
        <w:rPr>
          <w:rFonts w:hint="eastAsia" w:asciiTheme="minorEastAsia" w:hAnsiTheme="minorEastAsia" w:eastAsiaTheme="minorEastAsia"/>
          <w:szCs w:val="21"/>
          <w:vertAlign w:val="superscript"/>
        </w:rPr>
        <w:t>[4]</w:t>
      </w:r>
      <w:r>
        <w:rPr>
          <w:rFonts w:hint="eastAsia" w:asciiTheme="minorEastAsia" w:hAnsiTheme="minorEastAsia" w:eastAsiaTheme="minorEastAsia"/>
          <w:szCs w:val="21"/>
        </w:rPr>
        <w:t>。传统的学生评价体系以“量化评价”为主，如各类考试。</w:t>
      </w:r>
      <w:r>
        <w:rPr>
          <w:rFonts w:eastAsiaTheme="minorEastAsia"/>
          <w:szCs w:val="21"/>
        </w:rPr>
        <w:t>Stephen C</w:t>
      </w:r>
      <w:r>
        <w:rPr>
          <w:rFonts w:asciiTheme="minorEastAsia" w:hAnsiTheme="minorEastAsia" w:eastAsiaTheme="minorEastAsia"/>
          <w:szCs w:val="21"/>
        </w:rPr>
        <w:t>认为</w:t>
      </w:r>
      <w:r>
        <w:rPr>
          <w:rFonts w:hint="eastAsia" w:asciiTheme="minorEastAsia" w:hAnsiTheme="minorEastAsia" w:eastAsiaTheme="minorEastAsia"/>
          <w:szCs w:val="21"/>
        </w:rPr>
        <w:t>学生在具体课程表现评价可用于评估学习结果覆盖的有效性</w:t>
      </w:r>
      <w:r>
        <w:rPr>
          <w:rFonts w:hint="eastAsia" w:asciiTheme="minorEastAsia" w:hAnsiTheme="minorEastAsia" w:eastAsiaTheme="minorEastAsia"/>
          <w:szCs w:val="21"/>
          <w:vertAlign w:val="superscript"/>
        </w:rPr>
        <w:t>[5]</w:t>
      </w:r>
      <w:r>
        <w:rPr>
          <w:rFonts w:hint="eastAsia" w:asciiTheme="minorEastAsia" w:hAnsiTheme="minorEastAsia" w:eastAsiaTheme="minorEastAsia"/>
          <w:szCs w:val="21"/>
        </w:rPr>
        <w:t>。在高等教育阶段，学校及教师已经意识到单一的考试成绩并不能作为评价学生的标杆，所以改进学生评价体系，引进西方评价概念如“校本学生评价体系”，将学生评价领域划分为“学生知识与技能评价”、“学生学习过程方法评价”、“学生情感态度与价值观评价”、“学生品德评价”和“学生综合素质评价”五个部分</w:t>
      </w:r>
      <w:r>
        <w:rPr>
          <w:rFonts w:hint="eastAsia" w:asciiTheme="minorEastAsia" w:hAnsiTheme="minorEastAsia" w:eastAsiaTheme="minorEastAsia"/>
          <w:szCs w:val="21"/>
          <w:vertAlign w:val="superscript"/>
        </w:rPr>
        <w:t>[6]</w:t>
      </w:r>
      <w:r>
        <w:rPr>
          <w:rFonts w:hint="eastAsia" w:asciiTheme="minorEastAsia" w:hAnsiTheme="minorEastAsia" w:eastAsiaTheme="minorEastAsia"/>
          <w:szCs w:val="21"/>
        </w:rPr>
        <w:t>。教学评估几十年的发展使教育工作者逐渐意识到终结性评价只是教学评估的一部分，同时，研究者普遍认为形成性评价是有效学习的必要成分，它给老师和学生提供及时有益的反馈信息，促进教学目标的实现</w:t>
      </w:r>
      <w:r>
        <w:rPr>
          <w:rFonts w:hint="eastAsia" w:asciiTheme="minorEastAsia" w:hAnsiTheme="minorEastAsia" w:eastAsiaTheme="minorEastAsia"/>
          <w:szCs w:val="21"/>
          <w:vertAlign w:val="superscript"/>
        </w:rPr>
        <w:t>[7]</w:t>
      </w:r>
      <w:r>
        <w:rPr>
          <w:rFonts w:hint="eastAsia" w:asciiTheme="minorEastAsia" w:hAnsiTheme="minorEastAsia" w:eastAsiaTheme="minorEastAsia"/>
          <w:szCs w:val="21"/>
        </w:rPr>
        <w:t>。但是在英语专业学生评价体系中，仍然存在过分注重考试成绩，忽略其他方面评价这一情况。大多课程以“平时成绩”加“期末卷面成绩”作为学生的总评成绩，形成性评价只起辅助或者补充作用，缺乏完整的评价体系，无法合理地全面评价学生的学习。</w:t>
      </w:r>
    </w:p>
    <w:p>
      <w:pPr>
        <w:spacing w:line="4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二、英语专业《高级英语》课程学生评价体系现状</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《高级英语》是英语专业高年级学生的核心课程，不同学校基于自己具体的办学定位，人才培养目标和生源情况，设置符合自己学校、专业情况的高级英语课程。笔者调查了</w:t>
      </w:r>
      <w:r>
        <w:rPr>
          <w:rFonts w:hint="eastAsia" w:asciiTheme="minorEastAsia" w:hAnsiTheme="minorEastAsia" w:eastAsiaTheme="minorEastAsia"/>
          <w:color w:val="000000" w:themeColor="text1"/>
          <w:szCs w:val="21"/>
          <w14:textFill>
            <w14:solidFill>
              <w14:schemeClr w14:val="tx1"/>
            </w14:solidFill>
          </w14:textFill>
        </w:rPr>
        <w:t>七所</w:t>
      </w:r>
      <w:r>
        <w:rPr>
          <w:rFonts w:hint="eastAsia" w:asciiTheme="minorEastAsia" w:hAnsiTheme="minorEastAsia" w:eastAsiaTheme="minorEastAsia"/>
          <w:szCs w:val="21"/>
        </w:rPr>
        <w:t>不同高校英语专业《高级英语》教学情况</w:t>
      </w:r>
      <w:r>
        <w:rPr>
          <w:rFonts w:ascii="宋体" w:hAnsi="宋体"/>
          <w:kern w:val="0"/>
          <w:szCs w:val="21"/>
          <w:vertAlign w:val="superscript"/>
        </w:rPr>
        <w:t>①</w:t>
      </w:r>
      <w:r>
        <w:rPr>
          <w:rFonts w:hint="eastAsia" w:asciiTheme="minorEastAsia" w:hAnsiTheme="minorEastAsia" w:eastAsiaTheme="minorEastAsia"/>
          <w:szCs w:val="21"/>
        </w:rPr>
        <w:t>，包括两所综合性大学，两所语言类大学，三所理工科大学，其教学与评价情况综合总结如下：</w:t>
      </w:r>
    </w:p>
    <w:p>
      <w:pPr>
        <w:spacing w:line="400" w:lineRule="exact"/>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表1</w:t>
      </w:r>
      <w:r>
        <w:rPr>
          <w:rFonts w:hint="eastAsia" w:asciiTheme="minorEastAsia" w:hAnsiTheme="minorEastAsia" w:eastAsiaTheme="minorEastAsia"/>
          <w:szCs w:val="21"/>
        </w:rPr>
        <w:t>：</w:t>
      </w:r>
      <w:r>
        <w:rPr>
          <w:rFonts w:asciiTheme="minorEastAsia" w:hAnsiTheme="minorEastAsia" w:eastAsiaTheme="minorEastAsia"/>
          <w:szCs w:val="21"/>
        </w:rPr>
        <w:t>七所高校开设高级英语情况</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657"/>
        <w:gridCol w:w="1521"/>
        <w:gridCol w:w="1668"/>
        <w:gridCol w:w="698"/>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序号</w:t>
            </w:r>
          </w:p>
        </w:tc>
        <w:tc>
          <w:tcPr>
            <w:tcW w:w="1657"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学校名称</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所在院系</w:t>
            </w:r>
          </w:p>
        </w:tc>
        <w:tc>
          <w:tcPr>
            <w:tcW w:w="1668"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教材选择</w:t>
            </w:r>
          </w:p>
        </w:tc>
        <w:tc>
          <w:tcPr>
            <w:tcW w:w="698"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周课时</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1657"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山东大学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外国语学院英语系</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《高级英语》张汉熙</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平时成绩</w:t>
            </w:r>
            <w:r>
              <w:rPr>
                <w:rFonts w:hint="eastAsia" w:asciiTheme="minorEastAsia" w:hAnsiTheme="minorEastAsia" w:eastAsiaTheme="minorEastAsia"/>
                <w:szCs w:val="21"/>
              </w:rPr>
              <w:t>（30%）＋期末成绩（70%）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1657"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西北大学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外国语学院英语系</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《高级英语》张汉熙</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平时成绩</w:t>
            </w:r>
            <w:r>
              <w:rPr>
                <w:rFonts w:hint="eastAsia" w:asciiTheme="minorEastAsia" w:hAnsiTheme="minorEastAsia" w:eastAsiaTheme="minorEastAsia"/>
                <w:szCs w:val="21"/>
              </w:rPr>
              <w:t>（20%）</w:t>
            </w:r>
            <w:r>
              <w:rPr>
                <w:rFonts w:asciiTheme="minorEastAsia" w:hAnsiTheme="minorEastAsia" w:eastAsiaTheme="minorEastAsia"/>
                <w:szCs w:val="21"/>
              </w:rPr>
              <w:t>＋期中成绩</w:t>
            </w:r>
            <w:r>
              <w:rPr>
                <w:rFonts w:hint="eastAsia" w:asciiTheme="minorEastAsia" w:hAnsiTheme="minorEastAsia" w:eastAsiaTheme="minorEastAsia"/>
                <w:szCs w:val="21"/>
              </w:rPr>
              <w:t>（20%）</w:t>
            </w:r>
            <w:r>
              <w:rPr>
                <w:rFonts w:asciiTheme="minorEastAsia" w:hAnsiTheme="minorEastAsia" w:eastAsiaTheme="minorEastAsia"/>
                <w:szCs w:val="21"/>
              </w:rPr>
              <w:t>＋期末成绩</w:t>
            </w:r>
            <w:r>
              <w:rPr>
                <w:rFonts w:hint="eastAsia" w:asciiTheme="minorEastAsia" w:hAnsiTheme="minorEastAsia" w:eastAsia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1657"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四川外国语大学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国际关系学院</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《新编高级英语教程》肖肃</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形成性评价</w:t>
            </w:r>
            <w:r>
              <w:rPr>
                <w:rFonts w:hint="eastAsia" w:asciiTheme="minorEastAsia" w:hAnsiTheme="minorEastAsia" w:eastAsiaTheme="minorEastAsia"/>
                <w:szCs w:val="21"/>
              </w:rPr>
              <w:t>（70%）</w:t>
            </w:r>
            <w:r>
              <w:rPr>
                <w:rFonts w:asciiTheme="minorEastAsia" w:hAnsiTheme="minorEastAsia" w:eastAsiaTheme="minorEastAsia"/>
                <w:szCs w:val="21"/>
              </w:rPr>
              <w:t>＋总评性评价</w:t>
            </w:r>
            <w:r>
              <w:rPr>
                <w:rFonts w:hint="eastAsia" w:asciiTheme="minorEastAsia" w:hAnsiTheme="minorEastAsia" w:eastAsia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1657"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广东外语外贸大学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英文学院</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当代英美散文名篇选读</w:t>
            </w:r>
            <w:r>
              <w:rPr>
                <w:rFonts w:hint="eastAsia" w:asciiTheme="minorEastAsia" w:hAnsiTheme="minorEastAsia" w:eastAsiaTheme="minorEastAsia"/>
                <w:szCs w:val="21"/>
              </w:rPr>
              <w:t>》 方健壮</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读书报告</w:t>
            </w:r>
            <w:r>
              <w:rPr>
                <w:rFonts w:hint="eastAsia" w:asciiTheme="minorEastAsia" w:hAnsiTheme="minorEastAsia" w:eastAsiaTheme="minorEastAsia"/>
                <w:szCs w:val="21"/>
              </w:rPr>
              <w:t>（10%）</w:t>
            </w:r>
            <w:r>
              <w:rPr>
                <w:rFonts w:asciiTheme="minorEastAsia" w:hAnsiTheme="minorEastAsia" w:eastAsiaTheme="minorEastAsia"/>
                <w:szCs w:val="21"/>
              </w:rPr>
              <w:t>＋平时成绩</w:t>
            </w:r>
            <w:r>
              <w:rPr>
                <w:rFonts w:hint="eastAsia" w:asciiTheme="minorEastAsia" w:hAnsiTheme="minorEastAsia" w:eastAsiaTheme="minorEastAsia"/>
                <w:szCs w:val="21"/>
              </w:rPr>
              <w:t>（10%）</w:t>
            </w:r>
            <w:r>
              <w:rPr>
                <w:rFonts w:asciiTheme="minorEastAsia" w:hAnsiTheme="minorEastAsia" w:eastAsiaTheme="minorEastAsia"/>
                <w:szCs w:val="21"/>
              </w:rPr>
              <w:t>＋期中成绩</w:t>
            </w:r>
            <w:r>
              <w:rPr>
                <w:rFonts w:hint="eastAsia" w:asciiTheme="minorEastAsia" w:hAnsiTheme="minorEastAsia" w:eastAsiaTheme="minorEastAsia"/>
                <w:szCs w:val="21"/>
              </w:rPr>
              <w:t>（30%）</w:t>
            </w:r>
            <w:r>
              <w:rPr>
                <w:rFonts w:asciiTheme="minorEastAsia" w:hAnsiTheme="minorEastAsia" w:eastAsiaTheme="minorEastAsia"/>
                <w:szCs w:val="21"/>
              </w:rPr>
              <w:t>＋期末成绩</w:t>
            </w:r>
            <w:r>
              <w:rPr>
                <w:rFonts w:hint="eastAsia" w:asciiTheme="minorEastAsia" w:hAnsiTheme="minorEastAsia" w:eastAsia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5</w:t>
            </w:r>
          </w:p>
        </w:tc>
        <w:tc>
          <w:tcPr>
            <w:tcW w:w="1657"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华东理工大学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英语系</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《高级英语》张汉熙</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4 </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平时成绩</w:t>
            </w:r>
            <w:r>
              <w:rPr>
                <w:rFonts w:hint="eastAsia" w:asciiTheme="minorEastAsia" w:hAnsiTheme="minorEastAsia" w:eastAsiaTheme="minorEastAsia"/>
                <w:szCs w:val="21"/>
              </w:rPr>
              <w:t>（40%）＋期末成绩（60%）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6</w:t>
            </w:r>
          </w:p>
        </w:tc>
        <w:tc>
          <w:tcPr>
            <w:tcW w:w="1657"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河南工业大学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外语学院</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《新编英语教程》（5、6）李观仪</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平时成绩</w:t>
            </w:r>
            <w:r>
              <w:rPr>
                <w:rFonts w:hint="eastAsia" w:asciiTheme="minorEastAsia" w:hAnsiTheme="minorEastAsia" w:eastAsiaTheme="minorEastAsia"/>
                <w:szCs w:val="21"/>
              </w:rPr>
              <w:t>（20%）＋期末成绩（80%）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7</w:t>
            </w:r>
          </w:p>
        </w:tc>
        <w:tc>
          <w:tcPr>
            <w:tcW w:w="1657"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上海理工大学</w:t>
            </w:r>
          </w:p>
        </w:tc>
        <w:tc>
          <w:tcPr>
            <w:tcW w:w="1521"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英语系</w:t>
            </w:r>
          </w:p>
        </w:tc>
        <w:tc>
          <w:tcPr>
            <w:tcW w:w="166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《综合教程》（5）</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何兆熊</w:t>
            </w:r>
          </w:p>
        </w:tc>
        <w:tc>
          <w:tcPr>
            <w:tcW w:w="698"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086" w:type="dxa"/>
          </w:tcPr>
          <w:p>
            <w:pPr>
              <w:spacing w:line="400" w:lineRule="exact"/>
              <w:rPr>
                <w:rFonts w:asciiTheme="minorEastAsia" w:hAnsiTheme="minorEastAsia" w:eastAsiaTheme="minorEastAsia"/>
                <w:szCs w:val="21"/>
              </w:rPr>
            </w:pPr>
            <w:r>
              <w:rPr>
                <w:rFonts w:asciiTheme="minorEastAsia" w:hAnsiTheme="minorEastAsia" w:eastAsiaTheme="minorEastAsia"/>
                <w:szCs w:val="21"/>
              </w:rPr>
              <w:t>平时成绩</w:t>
            </w:r>
            <w:r>
              <w:rPr>
                <w:rFonts w:hint="eastAsia" w:asciiTheme="minorEastAsia" w:hAnsiTheme="minorEastAsia" w:eastAsiaTheme="minorEastAsia"/>
                <w:szCs w:val="21"/>
              </w:rPr>
              <w:t>（30%）＋期末成绩（70%）</w:t>
            </w:r>
          </w:p>
        </w:tc>
      </w:tr>
    </w:tbl>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从上表中可以看出，七所高校高级英语课程选择的教材各自不同，周课时均为四节。对于学生评价体系标准和方式相似，除个别高校外，大部分学校采用了平时成绩评价为辅，期末总评性测试为主的测试手段。平时成绩打分以学生出勤、课堂互动、课堂报告的效果为参考。期末考试采用闭卷考试，内容有传统英语考试的选词填空、完形填空、改错等，去除了低年级考试中常见的单选、判断题，难度基本与英语专业八级考试（</w:t>
      </w:r>
      <w:r>
        <w:rPr>
          <w:rFonts w:hint="eastAsia" w:eastAsiaTheme="minorEastAsia"/>
          <w:szCs w:val="21"/>
        </w:rPr>
        <w:t>TEM-8</w:t>
      </w:r>
      <w:r>
        <w:rPr>
          <w:rFonts w:hint="eastAsia" w:asciiTheme="minorEastAsia" w:hAnsiTheme="minorEastAsia" w:eastAsiaTheme="minorEastAsia"/>
          <w:szCs w:val="21"/>
        </w:rPr>
        <w:t>）类似。期末成绩和平时成绩综合后为学生的课程总评成绩。</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其学生评价方式并不能完全评测课程是否达到其教学目标，部分高校英语专业以单一表现反映学生学习总成绩；以考试成绩量化学生学习表现。这是目前高级英语评价体系存在的弊端。</w:t>
      </w:r>
    </w:p>
    <w:p>
      <w:pPr>
        <w:spacing w:line="40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三、教育目标分类法概述</w:t>
      </w:r>
    </w:p>
    <w:p>
      <w:pPr>
        <w:widowControl/>
        <w:shd w:val="clear" w:color="auto" w:fill="FFFFFF"/>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1956年，美国教育学家、心理学家本杰明·布鲁姆发表</w:t>
      </w:r>
      <w:r>
        <w:fldChar w:fldCharType="begin"/>
      </w:r>
      <w:r>
        <w:instrText xml:space="preserve"> HYPERLINK "http://www.baike.com/sowiki/%E6%96%87%E7%AB%A0?prd=content_doc_search" \t "_blank" \o "文章" </w:instrText>
      </w:r>
      <w:r>
        <w:fldChar w:fldCharType="separate"/>
      </w:r>
      <w:r>
        <w:rPr>
          <w:rFonts w:hint="eastAsia" w:asciiTheme="minorEastAsia" w:hAnsiTheme="minorEastAsia" w:eastAsiaTheme="minorEastAsia"/>
          <w:szCs w:val="21"/>
        </w:rPr>
        <w:t>文章</w:t>
      </w:r>
      <w:r>
        <w:rPr>
          <w:rFonts w:asciiTheme="minorEastAsia" w:hAnsiTheme="minorEastAsia" w:eastAsiaTheme="minorEastAsia"/>
          <w:szCs w:val="21"/>
        </w:rPr>
        <w:fldChar w:fldCharType="end"/>
      </w:r>
      <w:r>
        <w:rPr>
          <w:rFonts w:hint="eastAsia" w:asciiTheme="minorEastAsia" w:hAnsiTheme="minorEastAsia" w:eastAsiaTheme="minorEastAsia"/>
          <w:szCs w:val="21"/>
        </w:rPr>
        <w:t>《教育目标分类 第一分册：认知领域》，认为</w:t>
      </w:r>
      <w:r>
        <w:rPr>
          <w:rFonts w:asciiTheme="minorEastAsia" w:hAnsiTheme="minorEastAsia" w:eastAsiaTheme="minorEastAsia"/>
          <w:szCs w:val="21"/>
        </w:rPr>
        <w:t>学习的认知领域</w:t>
      </w:r>
      <w:r>
        <w:rPr>
          <w:rFonts w:hint="eastAsia" w:asciiTheme="minorEastAsia" w:hAnsiTheme="minorEastAsia" w:eastAsiaTheme="minorEastAsia"/>
          <w:szCs w:val="21"/>
        </w:rPr>
        <w:t>有六种层次。该理论后来成为美国教育界引用次数最多的一本书</w:t>
      </w:r>
      <w:r>
        <w:rPr>
          <w:rFonts w:hint="eastAsia" w:asciiTheme="minorEastAsia" w:hAnsiTheme="minorEastAsia" w:eastAsiaTheme="minorEastAsia"/>
          <w:szCs w:val="21"/>
          <w:vertAlign w:val="superscript"/>
        </w:rPr>
        <w:t>[8]</w:t>
      </w:r>
      <w:r>
        <w:rPr>
          <w:rFonts w:hint="eastAsia" w:asciiTheme="minorEastAsia" w:hAnsiTheme="minorEastAsia" w:eastAsiaTheme="minorEastAsia"/>
          <w:szCs w:val="21"/>
        </w:rPr>
        <w:t>。</w:t>
      </w:r>
      <w:bookmarkStart w:id="0" w:name="3"/>
      <w:bookmarkEnd w:id="0"/>
      <w:r>
        <w:rPr>
          <w:rFonts w:hint="eastAsia" w:asciiTheme="minorEastAsia" w:hAnsiTheme="minorEastAsia" w:eastAsiaTheme="minorEastAsia"/>
          <w:szCs w:val="21"/>
        </w:rPr>
        <w:t>2001年，</w:t>
      </w:r>
      <w:r>
        <w:rPr>
          <w:rFonts w:hint="eastAsia" w:eastAsiaTheme="minorEastAsia"/>
          <w:szCs w:val="21"/>
        </w:rPr>
        <w:t>L</w:t>
      </w:r>
      <w:r>
        <w:rPr>
          <w:rFonts w:eastAsiaTheme="minorEastAsia"/>
          <w:szCs w:val="21"/>
        </w:rPr>
        <w:t>﹒W﹒</w:t>
      </w:r>
      <w:r>
        <w:rPr>
          <w:rFonts w:hint="eastAsia" w:asciiTheme="minorEastAsia" w:hAnsiTheme="minorEastAsia" w:eastAsiaTheme="minorEastAsia"/>
          <w:szCs w:val="21"/>
        </w:rPr>
        <w:t>安德森与</w:t>
      </w:r>
      <w:r>
        <w:rPr>
          <w:rFonts w:eastAsiaTheme="minorEastAsia"/>
          <w:szCs w:val="21"/>
        </w:rPr>
        <w:t>R﹒E</w:t>
      </w:r>
      <w:r>
        <w:rPr>
          <w:rFonts w:hint="eastAsia" w:asciiTheme="minorEastAsia" w:hAnsiTheme="minorEastAsia" w:eastAsiaTheme="minorEastAsia"/>
          <w:szCs w:val="21"/>
        </w:rPr>
        <w:t>﹒梅耶等合作完成对认知教育目标分类的修订，出版了《学习、教学和评估的分类学：布卢姆教育目标分类学（修订版）》，将教育目标分为两个维度：知识维度（</w:t>
      </w:r>
      <w:r>
        <w:rPr>
          <w:rFonts w:hint="eastAsia" w:eastAsiaTheme="minorEastAsia"/>
          <w:szCs w:val="21"/>
        </w:rPr>
        <w:t>knowledge dimension</w:t>
      </w:r>
      <w:r>
        <w:rPr>
          <w:rFonts w:hint="eastAsia" w:asciiTheme="minorEastAsia" w:hAnsiTheme="minorEastAsia" w:eastAsiaTheme="minorEastAsia"/>
          <w:szCs w:val="21"/>
        </w:rPr>
        <w:t>）和认知过程维度（</w:t>
      </w:r>
      <w:r>
        <w:rPr>
          <w:rFonts w:hint="eastAsia" w:eastAsiaTheme="minorEastAsia"/>
          <w:szCs w:val="21"/>
        </w:rPr>
        <w:t>cognitive dimension</w:t>
      </w:r>
      <w:r>
        <w:rPr>
          <w:rFonts w:hint="eastAsia" w:asciiTheme="minorEastAsia" w:hAnsiTheme="minorEastAsia" w:eastAsiaTheme="minorEastAsia"/>
          <w:szCs w:val="21"/>
        </w:rPr>
        <w:t>）</w:t>
      </w:r>
      <w:r>
        <w:rPr>
          <w:rFonts w:hint="eastAsia" w:asciiTheme="minorEastAsia" w:hAnsiTheme="minorEastAsia" w:eastAsiaTheme="minorEastAsia"/>
          <w:szCs w:val="21"/>
          <w:vertAlign w:val="superscript"/>
        </w:rPr>
        <w:t>[9]</w:t>
      </w:r>
      <w:r>
        <w:rPr>
          <w:rFonts w:hint="eastAsia" w:asciiTheme="minorEastAsia" w:hAnsiTheme="minorEastAsia" w:eastAsiaTheme="minorEastAsia"/>
          <w:szCs w:val="21"/>
        </w:rPr>
        <w:t>，知识维度层面上，知识被分为四种类型:事实性知识(</w:t>
      </w:r>
      <w:r>
        <w:rPr>
          <w:rFonts w:hint="eastAsia" w:eastAsiaTheme="minorEastAsia"/>
          <w:szCs w:val="21"/>
        </w:rPr>
        <w:t>factual knowledge</w:t>
      </w:r>
      <w:r>
        <w:rPr>
          <w:rFonts w:hint="eastAsia" w:asciiTheme="minorEastAsia" w:hAnsiTheme="minorEastAsia" w:eastAsiaTheme="minorEastAsia"/>
          <w:szCs w:val="21"/>
        </w:rPr>
        <w:t>)、概念性知识(</w:t>
      </w:r>
      <w:r>
        <w:rPr>
          <w:rFonts w:hint="eastAsia" w:eastAsiaTheme="minorEastAsia"/>
          <w:szCs w:val="21"/>
        </w:rPr>
        <w:t>conceptual knowledge</w:t>
      </w:r>
      <w:r>
        <w:rPr>
          <w:rFonts w:hint="eastAsia" w:asciiTheme="minorEastAsia" w:hAnsiTheme="minorEastAsia" w:eastAsiaTheme="minorEastAsia"/>
          <w:szCs w:val="21"/>
        </w:rPr>
        <w:t>)、程序性知识(</w:t>
      </w:r>
      <w:r>
        <w:rPr>
          <w:rFonts w:hint="eastAsia" w:eastAsiaTheme="minorEastAsia"/>
          <w:szCs w:val="21"/>
        </w:rPr>
        <w:t>procedural knowledge</w:t>
      </w:r>
      <w:r>
        <w:rPr>
          <w:rFonts w:hint="eastAsia" w:asciiTheme="minorEastAsia" w:hAnsiTheme="minorEastAsia" w:eastAsiaTheme="minorEastAsia"/>
          <w:szCs w:val="21"/>
        </w:rPr>
        <w:t>)和超认知知识(</w:t>
      </w:r>
      <w:r>
        <w:rPr>
          <w:rFonts w:hint="eastAsia" w:eastAsiaTheme="minorEastAsia"/>
          <w:szCs w:val="21"/>
        </w:rPr>
        <w:t>metacognitive knowledge</w:t>
      </w:r>
      <w:r>
        <w:rPr>
          <w:rFonts w:hint="eastAsia" w:asciiTheme="minorEastAsia" w:hAnsiTheme="minorEastAsia" w:eastAsiaTheme="minorEastAsia"/>
          <w:szCs w:val="21"/>
        </w:rPr>
        <w:t>)。</w:t>
      </w:r>
    </w:p>
    <w:p>
      <w:pPr>
        <w:widowControl/>
        <w:shd w:val="clear" w:color="auto" w:fill="FFFFFF"/>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修订版的分类法由认知的复杂程度，由低到高的将认识过程分为六个类别:记忆(</w:t>
      </w:r>
      <w:r>
        <w:rPr>
          <w:rFonts w:hint="eastAsia" w:eastAsiaTheme="minorEastAsia"/>
          <w:szCs w:val="21"/>
        </w:rPr>
        <w:t>remember</w:t>
      </w:r>
      <w:r>
        <w:rPr>
          <w:rFonts w:hint="eastAsia" w:asciiTheme="minorEastAsia" w:hAnsiTheme="minorEastAsia" w:eastAsiaTheme="minorEastAsia"/>
          <w:szCs w:val="21"/>
        </w:rPr>
        <w:t>)、理解(</w:t>
      </w:r>
      <w:r>
        <w:rPr>
          <w:rFonts w:hint="eastAsia" w:eastAsiaTheme="minorEastAsia"/>
          <w:szCs w:val="21"/>
        </w:rPr>
        <w:t>understand</w:t>
      </w:r>
      <w:r>
        <w:rPr>
          <w:rFonts w:hint="eastAsia" w:asciiTheme="minorEastAsia" w:hAnsiTheme="minorEastAsia" w:eastAsiaTheme="minorEastAsia"/>
          <w:szCs w:val="21"/>
        </w:rPr>
        <w:t>)、应用(</w:t>
      </w:r>
      <w:r>
        <w:rPr>
          <w:rFonts w:hint="eastAsia" w:eastAsiaTheme="minorEastAsia"/>
          <w:szCs w:val="21"/>
        </w:rPr>
        <w:t>apply</w:t>
      </w:r>
      <w:r>
        <w:rPr>
          <w:rFonts w:hint="eastAsia" w:asciiTheme="minorEastAsia" w:hAnsiTheme="minorEastAsia" w:eastAsiaTheme="minorEastAsia"/>
          <w:szCs w:val="21"/>
        </w:rPr>
        <w:t>)、分析(</w:t>
      </w:r>
      <w:r>
        <w:rPr>
          <w:rFonts w:hint="eastAsia" w:eastAsiaTheme="minorEastAsia"/>
          <w:szCs w:val="21"/>
        </w:rPr>
        <w:t>analyze</w:t>
      </w:r>
      <w:r>
        <w:rPr>
          <w:rFonts w:hint="eastAsia" w:asciiTheme="minorEastAsia" w:hAnsiTheme="minorEastAsia" w:eastAsiaTheme="minorEastAsia"/>
          <w:szCs w:val="21"/>
        </w:rPr>
        <w:t>)、评价(</w:t>
      </w:r>
      <w:r>
        <w:rPr>
          <w:rFonts w:hint="eastAsia" w:eastAsiaTheme="minorEastAsia"/>
          <w:szCs w:val="21"/>
        </w:rPr>
        <w:t>evaluate</w:t>
      </w:r>
      <w:r>
        <w:rPr>
          <w:rFonts w:hint="eastAsia" w:asciiTheme="minorEastAsia" w:hAnsiTheme="minorEastAsia" w:eastAsiaTheme="minorEastAsia"/>
          <w:szCs w:val="21"/>
        </w:rPr>
        <w:t>)、创造(</w:t>
      </w:r>
      <w:r>
        <w:rPr>
          <w:rFonts w:hint="eastAsia" w:eastAsiaTheme="minorEastAsia"/>
          <w:szCs w:val="21"/>
        </w:rPr>
        <w:t>create</w:t>
      </w:r>
      <w:r>
        <w:rPr>
          <w:rFonts w:hint="eastAsia" w:asciiTheme="minorEastAsia" w:hAnsiTheme="minorEastAsia" w:eastAsiaTheme="minorEastAsia"/>
          <w:szCs w:val="21"/>
        </w:rPr>
        <w:t>)。</w:t>
      </w:r>
    </w:p>
    <w:p>
      <w:pPr>
        <w:widowControl/>
        <w:shd w:val="clear" w:color="auto" w:fill="FFFFFF"/>
        <w:spacing w:line="40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综合这样两个维度，可以制成一个分类表，如表2所示：</w:t>
      </w:r>
    </w:p>
    <w:p>
      <w:pPr>
        <w:widowControl/>
        <w:shd w:val="clear" w:color="auto" w:fill="FFFFFF"/>
        <w:spacing w:line="400" w:lineRule="exact"/>
        <w:ind w:firstLine="420" w:firstLineChars="200"/>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表2：修订版目标分类表</w:t>
      </w:r>
    </w:p>
    <w:tbl>
      <w:tblPr>
        <w:tblStyle w:val="16"/>
        <w:tblW w:w="6912" w:type="dxa"/>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51"/>
        <w:gridCol w:w="850"/>
        <w:gridCol w:w="851"/>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809" w:type="dxa"/>
          </w:tcPr>
          <w:p>
            <w:pPr>
              <w:widowControl/>
              <w:spacing w:line="400" w:lineRule="exact"/>
              <w:ind w:left="1260" w:leftChars="400" w:hanging="420" w:hanging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19050</wp:posOffset>
                      </wp:positionV>
                      <wp:extent cx="1076325" cy="714375"/>
                      <wp:effectExtent l="0" t="0" r="28575" b="28575"/>
                      <wp:wrapNone/>
                      <wp:docPr id="4" name="直接连接符 4"/>
                      <wp:cNvGraphicFramePr/>
                      <a:graphic xmlns:a="http://schemas.openxmlformats.org/drawingml/2006/main">
                        <a:graphicData uri="http://schemas.microsoft.com/office/word/2010/wordprocessingShape">
                          <wps:wsp>
                            <wps:cNvCnPr/>
                            <wps:spPr>
                              <a:xfrm>
                                <a:off x="0" y="0"/>
                                <a:ext cx="1076325"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pt;margin-top:1.5pt;height:56.25pt;width:84.75pt;z-index:251659264;mso-width-relative:page;mso-height-relative:page;" filled="f" stroked="t" coordsize="21600,21600" o:gfxdata="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0JS2d2QAAAAgBAAAP&#10;AAAAAAAAAAEAIAAAACIAAABkcnMvZG93bnJldi54bWxQSwECFAAUAAAACACHTuJAGeC9LN4BAACK&#10;AwAADgAAAAAAAAABACAAAAAoAQAAZHJzL2Uyb0RvYy54bWxQSwUGAAAAAAYABgBZAQAAeAUAAAAA&#10;">
                      <v:fill on="f" focussize="0,0"/>
                      <v:stroke color="#4A7EBB [3204]" joinstyle="round"/>
                      <v:imagedata o:title=""/>
                      <o:lock v:ext="edit" aspectratio="f"/>
                    </v:line>
                  </w:pict>
                </mc:Fallback>
              </mc:AlternateContent>
            </w:r>
            <w:r>
              <w:rPr>
                <w:rFonts w:hint="eastAsia" w:asciiTheme="minorEastAsia" w:hAnsiTheme="minorEastAsia" w:eastAsiaTheme="minorEastAsia"/>
                <w:color w:val="000000" w:themeColor="text1"/>
                <w:szCs w:val="21"/>
                <w14:textFill>
                  <w14:solidFill>
                    <w14:schemeClr w14:val="tx1"/>
                  </w14:solidFill>
                </w14:textFill>
              </w:rPr>
              <w:t>认知过程</w:t>
            </w:r>
          </w:p>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知识维度</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1记忆</w:t>
            </w: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2理解</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3应用</w:t>
            </w: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4分析</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5评价</w:t>
            </w: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6创造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A事实性知识</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B概念性知识</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C程序性知识</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D超认知知识</w:t>
            </w: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1"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c>
          <w:tcPr>
            <w:tcW w:w="850" w:type="dxa"/>
          </w:tcPr>
          <w:p>
            <w:pPr>
              <w:widowControl/>
              <w:spacing w:line="400" w:lineRule="exact"/>
              <w:jc w:val="left"/>
              <w:rPr>
                <w:rFonts w:asciiTheme="minorEastAsia" w:hAnsiTheme="minorEastAsia" w:eastAsiaTheme="minorEastAsia"/>
                <w:color w:val="000000" w:themeColor="text1"/>
                <w:szCs w:val="21"/>
                <w14:textFill>
                  <w14:solidFill>
                    <w14:schemeClr w14:val="tx1"/>
                  </w14:solidFill>
                </w14:textFill>
              </w:rPr>
            </w:pPr>
          </w:p>
        </w:tc>
      </w:tr>
    </w:tbl>
    <w:p>
      <w:pPr>
        <w:widowControl/>
        <w:shd w:val="clear" w:color="auto" w:fill="FFFFFF"/>
        <w:spacing w:line="4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这个新的分类体系, 对课程编制</w:t>
      </w:r>
      <w:r>
        <w:rPr>
          <w:rFonts w:hint="eastAsia" w:asciiTheme="minorEastAsia" w:hAnsiTheme="minorEastAsia" w:eastAsiaTheme="minorEastAsia"/>
          <w:szCs w:val="21"/>
        </w:rPr>
        <w:t>、</w:t>
      </w:r>
      <w:r>
        <w:rPr>
          <w:rFonts w:asciiTheme="minorEastAsia" w:hAnsiTheme="minorEastAsia" w:eastAsiaTheme="minorEastAsia"/>
          <w:szCs w:val="21"/>
        </w:rPr>
        <w:t>教育测评、教师培训</w:t>
      </w:r>
      <w:r>
        <w:rPr>
          <w:rFonts w:hint="eastAsia" w:asciiTheme="minorEastAsia" w:hAnsiTheme="minorEastAsia" w:eastAsiaTheme="minorEastAsia"/>
          <w:szCs w:val="21"/>
        </w:rPr>
        <w:t>、</w:t>
      </w:r>
      <w:r>
        <w:rPr>
          <w:rFonts w:asciiTheme="minorEastAsia" w:hAnsiTheme="minorEastAsia" w:eastAsiaTheme="minorEastAsia"/>
          <w:szCs w:val="21"/>
        </w:rPr>
        <w:t>教育技术开发等方面都会产生积极影响</w:t>
      </w:r>
      <w:r>
        <w:rPr>
          <w:rFonts w:hint="eastAsia" w:asciiTheme="minorEastAsia" w:hAnsiTheme="minorEastAsia" w:eastAsiaTheme="minorEastAsia"/>
          <w:szCs w:val="21"/>
          <w:vertAlign w:val="superscript"/>
        </w:rPr>
        <w:t>[10]</w:t>
      </w:r>
      <w:r>
        <w:rPr>
          <w:rFonts w:hint="eastAsia" w:asciiTheme="minorEastAsia" w:hAnsiTheme="minorEastAsia" w:eastAsiaTheme="minorEastAsia"/>
          <w:szCs w:val="21"/>
        </w:rPr>
        <w:t>。</w:t>
      </w:r>
    </w:p>
    <w:p>
      <w:pPr>
        <w:spacing w:line="400" w:lineRule="exact"/>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sz w:val="24"/>
        </w:rPr>
        <w:t>四、《</w:t>
      </w:r>
      <w:r>
        <w:rPr>
          <w:rFonts w:hint="eastAsia" w:asciiTheme="minorEastAsia" w:hAnsiTheme="minorEastAsia" w:eastAsiaTheme="minorEastAsia"/>
          <w:b/>
          <w:color w:val="000000" w:themeColor="text1"/>
          <w:sz w:val="24"/>
          <w14:textFill>
            <w14:solidFill>
              <w14:schemeClr w14:val="tx1"/>
            </w14:solidFill>
          </w14:textFill>
        </w:rPr>
        <w:t>高级英语</w:t>
      </w:r>
      <w:r>
        <w:rPr>
          <w:rFonts w:hint="eastAsia" w:asciiTheme="minorEastAsia" w:hAnsiTheme="minorEastAsia" w:eastAsiaTheme="minorEastAsia"/>
          <w:b/>
          <w:sz w:val="24"/>
        </w:rPr>
        <w:t>》课程</w:t>
      </w:r>
      <w:r>
        <w:rPr>
          <w:rFonts w:hint="eastAsia" w:asciiTheme="minorEastAsia" w:hAnsiTheme="minorEastAsia" w:eastAsiaTheme="minorEastAsia"/>
          <w:b/>
          <w:color w:val="000000" w:themeColor="text1"/>
          <w:sz w:val="24"/>
          <w14:textFill>
            <w14:solidFill>
              <w14:schemeClr w14:val="tx1"/>
            </w14:solidFill>
          </w14:textFill>
        </w:rPr>
        <w:t>学生评价体系结构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健全的学生评价体系能合理检测教学是否达到了教学目标。传统的高级英语课程平时成绩一般通过上课出勤率及一次课堂报告或一次写作任务评判。然而，高级英语评价体系不仅应测试学生“学的怎样”，还应有前瞻性的预测学生“该怎样学”；要检测学生的知识与技能，还要评价学生的学习过程、情感与价值观等。在修订版教育目标分类法的指导下，结合教学实践，笔者认为，根据教育分类法表2的分类中部分内容，以形成性评价加总结性评价的评价体系能综合测评学生，其中，形成性评价占70%，总结性评价（期末成绩）占30%，从评价方式到评价主体，形成科学、完整的体系，教师评价与学生自评相结合的评价主体机制。具体操作如下表3所示：</w:t>
      </w:r>
    </w:p>
    <w:p>
      <w:pPr>
        <w:spacing w:line="4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表3：教育目标分类法指导下《高级英语》课程学生评价体系</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mc:AlternateContent>
          <mc:Choice Requires="wpc">
            <w:drawing>
              <wp:inline distT="0" distB="0" distL="0" distR="0">
                <wp:extent cx="5274310" cy="3140075"/>
                <wp:effectExtent l="0" t="0" r="0" b="193675"/>
                <wp:docPr id="70" name="画布 70"/>
                <wp:cNvGraphicFramePr/>
                <a:graphic xmlns:a="http://schemas.openxmlformats.org/drawingml/2006/main">
                  <a:graphicData uri="http://schemas.microsoft.com/office/word/2010/wordprocessingCanvas">
                    <wpc:wpc>
                      <wpc:bg>
                        <a:noFill/>
                      </wpc:bg>
                      <wpc:whole>
                        <a:ln>
                          <a:noFill/>
                        </a:ln>
                      </wpc:whole>
                      <wps:wsp>
                        <wps:cNvPr id="38" name="流程图: 过程 4"/>
                        <wps:cNvSpPr>
                          <a:spLocks noChangeArrowheads="1"/>
                        </wps:cNvSpPr>
                        <wps:spPr bwMode="auto">
                          <a:xfrm>
                            <a:off x="547370" y="219075"/>
                            <a:ext cx="67183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平时成绩（25%）</w:t>
                              </w:r>
                            </w:p>
                          </w:txbxContent>
                        </wps:txbx>
                        <wps:bodyPr rot="0" vert="horz" wrap="square" lIns="91440" tIns="45720" rIns="91440" bIns="45720" anchor="ctr" anchorCtr="0" upright="1">
                          <a:noAutofit/>
                        </wps:bodyPr>
                      </wps:wsp>
                      <wps:wsp>
                        <wps:cNvPr id="39" name="流程图: 过程 4"/>
                        <wps:cNvSpPr>
                          <a:spLocks noChangeArrowheads="1"/>
                        </wps:cNvSpPr>
                        <wps:spPr bwMode="auto">
                          <a:xfrm>
                            <a:off x="547370" y="1219200"/>
                            <a:ext cx="69088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单元成绩（20%）</w:t>
                              </w:r>
                            </w:p>
                          </w:txbxContent>
                        </wps:txbx>
                        <wps:bodyPr rot="0" vert="horz" wrap="square" lIns="91440" tIns="45720" rIns="91440" bIns="45720" anchor="ctr" anchorCtr="0" upright="1">
                          <a:noAutofit/>
                        </wps:bodyPr>
                      </wps:wsp>
                      <wps:wsp>
                        <wps:cNvPr id="40" name="流程图: 过程 4"/>
                        <wps:cNvSpPr>
                          <a:spLocks noChangeArrowheads="1"/>
                        </wps:cNvSpPr>
                        <wps:spPr bwMode="auto">
                          <a:xfrm>
                            <a:off x="547370" y="2247900"/>
                            <a:ext cx="681355"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实验成绩（25%）</w:t>
                              </w:r>
                            </w:p>
                          </w:txbxContent>
                        </wps:txbx>
                        <wps:bodyPr rot="0" vert="horz" wrap="square" lIns="91440" tIns="45720" rIns="91440" bIns="45720" anchor="ctr" anchorCtr="0" upright="1">
                          <a:noAutofit/>
                        </wps:bodyPr>
                      </wps:wsp>
                      <wps:wsp>
                        <wps:cNvPr id="41" name="流程图: 过程 4"/>
                        <wps:cNvSpPr>
                          <a:spLocks noChangeArrowheads="1"/>
                        </wps:cNvSpPr>
                        <wps:spPr bwMode="auto">
                          <a:xfrm>
                            <a:off x="1515745" y="219075"/>
                            <a:ext cx="1924050" cy="322580"/>
                          </a:xfrm>
                          <a:prstGeom prst="flowChartProcess">
                            <a:avLst/>
                          </a:prstGeom>
                          <a:noFill/>
                          <a:ln w="12700">
                            <a:solidFill>
                              <a:srgbClr val="000000"/>
                            </a:solidFill>
                            <a:miter lim="800000"/>
                          </a:ln>
                          <a:effectLst/>
                        </wps:spPr>
                        <wps:txbx>
                          <w:txbxContent>
                            <w:p>
                              <w:pPr>
                                <w:rPr>
                                  <w:rFonts w:ascii="宋体" w:hAnsi="宋体" w:cs="宋体"/>
                                  <w:color w:val="000000"/>
                                  <w:sz w:val="18"/>
                                  <w:szCs w:val="18"/>
                                </w:rPr>
                              </w:pPr>
                              <w:r>
                                <w:rPr>
                                  <w:rFonts w:hint="eastAsia" w:ascii="宋体" w:hAnsi="宋体" w:cs="宋体"/>
                                  <w:color w:val="000000"/>
                                  <w:sz w:val="18"/>
                                  <w:szCs w:val="18"/>
                                </w:rPr>
                                <w:t>日常学习观察点表（A1-A6、B1</w:t>
                              </w:r>
                              <w:r>
                                <w:rPr>
                                  <w:rFonts w:ascii="宋体" w:hAnsi="宋体" w:cs="宋体"/>
                                  <w:color w:val="000000"/>
                                  <w:sz w:val="18"/>
                                  <w:szCs w:val="18"/>
                                </w:rPr>
                                <w:t>-B6</w:t>
                              </w:r>
                              <w:r>
                                <w:rPr>
                                  <w:rFonts w:hint="eastAsia" w:ascii="宋体" w:hAnsi="宋体" w:cs="宋体"/>
                                  <w:color w:val="000000"/>
                                  <w:sz w:val="18"/>
                                  <w:szCs w:val="18"/>
                                </w:rPr>
                                <w:t>）</w:t>
                              </w:r>
                            </w:p>
                          </w:txbxContent>
                        </wps:txbx>
                        <wps:bodyPr rot="0" vert="horz" wrap="square" lIns="91440" tIns="45720" rIns="91440" bIns="45720" anchor="ctr" anchorCtr="0" upright="1">
                          <a:noAutofit/>
                        </wps:bodyPr>
                      </wps:wsp>
                      <wps:wsp>
                        <wps:cNvPr id="42" name="流程图: 过程 4"/>
                        <wps:cNvSpPr>
                          <a:spLocks noChangeArrowheads="1"/>
                        </wps:cNvSpPr>
                        <wps:spPr bwMode="auto">
                          <a:xfrm>
                            <a:off x="1546860" y="952500"/>
                            <a:ext cx="104775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单元测试（A1）</w:t>
                              </w:r>
                            </w:p>
                          </w:txbxContent>
                        </wps:txbx>
                        <wps:bodyPr rot="0" vert="horz" wrap="square" lIns="91440" tIns="45720" rIns="91440" bIns="45720" anchor="ctr" anchorCtr="0" upright="1">
                          <a:noAutofit/>
                        </wps:bodyPr>
                      </wps:wsp>
                      <wps:wsp>
                        <wps:cNvPr id="43" name="流程图: 过程 4"/>
                        <wps:cNvSpPr>
                          <a:spLocks noChangeArrowheads="1"/>
                        </wps:cNvSpPr>
                        <wps:spPr bwMode="auto">
                          <a:xfrm>
                            <a:off x="1566545" y="1447800"/>
                            <a:ext cx="104775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小习作(B2)</w:t>
                              </w:r>
                            </w:p>
                          </w:txbxContent>
                        </wps:txbx>
                        <wps:bodyPr rot="0" vert="horz" wrap="square" lIns="91440" tIns="45720" rIns="91440" bIns="45720" anchor="ctr" anchorCtr="0" upright="1">
                          <a:noAutofit/>
                        </wps:bodyPr>
                      </wps:wsp>
                      <wps:wsp>
                        <wps:cNvPr id="44" name="流程图: 过程 4"/>
                        <wps:cNvSpPr>
                          <a:spLocks noChangeArrowheads="1"/>
                        </wps:cNvSpPr>
                        <wps:spPr bwMode="auto">
                          <a:xfrm>
                            <a:off x="2909569" y="1323975"/>
                            <a:ext cx="104775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结构分析</w:t>
                              </w:r>
                            </w:p>
                          </w:txbxContent>
                        </wps:txbx>
                        <wps:bodyPr rot="0" vert="horz" wrap="square" lIns="91440" tIns="45720" rIns="91440" bIns="45720" anchor="ctr" anchorCtr="0" upright="1">
                          <a:noAutofit/>
                        </wps:bodyPr>
                      </wps:wsp>
                      <wps:wsp>
                        <wps:cNvPr id="45" name="流程图: 过程 4"/>
                        <wps:cNvSpPr>
                          <a:spLocks noChangeArrowheads="1"/>
                        </wps:cNvSpPr>
                        <wps:spPr bwMode="auto">
                          <a:xfrm>
                            <a:off x="2919094" y="1676400"/>
                            <a:ext cx="104775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逻辑流程图</w:t>
                              </w:r>
                            </w:p>
                          </w:txbxContent>
                        </wps:txbx>
                        <wps:bodyPr rot="0" vert="horz" wrap="square" lIns="91440" tIns="45720" rIns="91440" bIns="45720" anchor="ctr" anchorCtr="0" upright="1">
                          <a:noAutofit/>
                        </wps:bodyPr>
                      </wps:wsp>
                      <wps:wsp>
                        <wps:cNvPr id="46" name="流程图: 过程 4"/>
                        <wps:cNvSpPr>
                          <a:spLocks noChangeArrowheads="1"/>
                        </wps:cNvSpPr>
                        <wps:spPr bwMode="auto">
                          <a:xfrm>
                            <a:off x="1531620" y="1990725"/>
                            <a:ext cx="1047750"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网络学习（A1）</w:t>
                              </w:r>
                            </w:p>
                          </w:txbxContent>
                        </wps:txbx>
                        <wps:bodyPr rot="0" vert="horz" wrap="square" lIns="91440" tIns="45720" rIns="91440" bIns="45720" anchor="ctr" anchorCtr="0" upright="1">
                          <a:noAutofit/>
                        </wps:bodyPr>
                      </wps:wsp>
                      <wps:wsp>
                        <wps:cNvPr id="47" name="流程图: 过程 4"/>
                        <wps:cNvSpPr>
                          <a:spLocks noChangeArrowheads="1"/>
                        </wps:cNvSpPr>
                        <wps:spPr bwMode="auto">
                          <a:xfrm>
                            <a:off x="1531620" y="2418972"/>
                            <a:ext cx="1546860" cy="369968"/>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教学实践(C3-</w:t>
                              </w:r>
                              <w:r>
                                <w:rPr>
                                  <w:rFonts w:ascii="宋体" w:hAnsi="宋体" w:cs="宋体"/>
                                  <w:color w:val="000000"/>
                                  <w:sz w:val="18"/>
                                  <w:szCs w:val="18"/>
                                </w:rPr>
                                <w:t>C6</w:t>
                              </w:r>
                              <w:r>
                                <w:rPr>
                                  <w:rFonts w:hint="eastAsia" w:ascii="宋体" w:hAnsi="宋体" w:cs="宋体"/>
                                  <w:color w:val="000000"/>
                                  <w:sz w:val="18"/>
                                  <w:szCs w:val="18"/>
                                </w:rPr>
                                <w:t>、D3</w:t>
                              </w:r>
                              <w:r>
                                <w:rPr>
                                  <w:rFonts w:ascii="宋体" w:hAnsi="宋体" w:cs="宋体"/>
                                  <w:color w:val="000000"/>
                                  <w:sz w:val="18"/>
                                  <w:szCs w:val="18"/>
                                </w:rPr>
                                <w:t>-</w:t>
                              </w:r>
                              <w:r>
                                <w:rPr>
                                  <w:rFonts w:hint="eastAsia" w:ascii="宋体" w:hAnsi="宋体" w:cs="宋体"/>
                                  <w:color w:val="000000"/>
                                  <w:sz w:val="18"/>
                                  <w:szCs w:val="18"/>
                                </w:rPr>
                                <w:t>D6)</w:t>
                              </w:r>
                            </w:p>
                          </w:txbxContent>
                        </wps:txbx>
                        <wps:bodyPr rot="0" vert="horz" wrap="square" lIns="91440" tIns="45720" rIns="91440" bIns="45720" anchor="ctr" anchorCtr="0" upright="1">
                          <a:noAutofit/>
                        </wps:bodyPr>
                      </wps:wsp>
                      <wps:wsp>
                        <wps:cNvPr id="48" name="流程图: 过程 4"/>
                        <wps:cNvSpPr>
                          <a:spLocks noChangeArrowheads="1"/>
                        </wps:cNvSpPr>
                        <wps:spPr bwMode="auto">
                          <a:xfrm>
                            <a:off x="3285859" y="2320944"/>
                            <a:ext cx="695591"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论文写作</w:t>
                              </w:r>
                            </w:p>
                          </w:txbxContent>
                        </wps:txbx>
                        <wps:bodyPr rot="0" vert="horz" wrap="square" lIns="91440" tIns="45720" rIns="91440" bIns="45720" anchor="ctr" anchorCtr="0" upright="1">
                          <a:noAutofit/>
                        </wps:bodyPr>
                      </wps:wsp>
                      <wps:wsp>
                        <wps:cNvPr id="49" name="流程图: 过程 4"/>
                        <wps:cNvSpPr>
                          <a:spLocks noChangeArrowheads="1"/>
                        </wps:cNvSpPr>
                        <wps:spPr bwMode="auto">
                          <a:xfrm>
                            <a:off x="3319344" y="2705104"/>
                            <a:ext cx="699938" cy="304796"/>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实践考核</w:t>
                              </w:r>
                            </w:p>
                          </w:txbxContent>
                        </wps:txbx>
                        <wps:bodyPr rot="0" vert="horz" wrap="square" lIns="91440" tIns="45720" rIns="91440" bIns="45720" anchor="ctr" anchorCtr="0" upright="1">
                          <a:noAutofit/>
                        </wps:bodyPr>
                      </wps:wsp>
                      <wps:wsp>
                        <wps:cNvPr id="50" name="流程图: 过程 4"/>
                        <wps:cNvSpPr>
                          <a:spLocks noChangeArrowheads="1"/>
                        </wps:cNvSpPr>
                        <wps:spPr bwMode="auto">
                          <a:xfrm>
                            <a:off x="4320826" y="2320944"/>
                            <a:ext cx="717899"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专家组评分</w:t>
                              </w:r>
                            </w:p>
                          </w:txbxContent>
                        </wps:txbx>
                        <wps:bodyPr rot="0" vert="horz" wrap="square" lIns="91440" tIns="45720" rIns="91440" bIns="45720" anchor="ctr" anchorCtr="0" upright="1">
                          <a:noAutofit/>
                        </wps:bodyPr>
                      </wps:wsp>
                      <wps:wsp>
                        <wps:cNvPr id="51" name="流程图: 过程 4"/>
                        <wps:cNvSpPr>
                          <a:spLocks noChangeArrowheads="1"/>
                        </wps:cNvSpPr>
                        <wps:spPr bwMode="auto">
                          <a:xfrm>
                            <a:off x="4347495" y="3038475"/>
                            <a:ext cx="700756"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同辈评分</w:t>
                              </w:r>
                            </w:p>
                          </w:txbxContent>
                        </wps:txbx>
                        <wps:bodyPr rot="0" vert="horz" wrap="square" lIns="91440" tIns="45720" rIns="91440" bIns="45720" anchor="ctr" anchorCtr="0" upright="1">
                          <a:noAutofit/>
                        </wps:bodyPr>
                      </wps:wsp>
                      <wps:wsp>
                        <wps:cNvPr id="52" name="流程图: 过程 4"/>
                        <wps:cNvSpPr>
                          <a:spLocks noChangeArrowheads="1"/>
                        </wps:cNvSpPr>
                        <wps:spPr bwMode="auto">
                          <a:xfrm>
                            <a:off x="4320827" y="2676529"/>
                            <a:ext cx="717492" cy="266700"/>
                          </a:xfrm>
                          <a:prstGeom prst="flowChartProcess">
                            <a:avLst/>
                          </a:prstGeom>
                          <a:noFill/>
                          <a:ln w="12700">
                            <a:solidFill>
                              <a:srgbClr val="000000"/>
                            </a:solidFill>
                            <a:miter lim="800000"/>
                          </a:ln>
                          <a:effectLst/>
                        </wps:spPr>
                        <wps:txbx>
                          <w:txbxContent>
                            <w:p>
                              <w:pPr>
                                <w:jc w:val="center"/>
                                <w:rPr>
                                  <w:rFonts w:ascii="宋体" w:hAnsi="宋体" w:cs="宋体"/>
                                  <w:color w:val="000000"/>
                                  <w:sz w:val="18"/>
                                  <w:szCs w:val="18"/>
                                </w:rPr>
                              </w:pPr>
                              <w:r>
                                <w:rPr>
                                  <w:rFonts w:hint="eastAsia" w:ascii="宋体" w:hAnsi="宋体" w:cs="宋体"/>
                                  <w:color w:val="000000"/>
                                  <w:sz w:val="18"/>
                                  <w:szCs w:val="18"/>
                                </w:rPr>
                                <w:t>学生自评</w:t>
                              </w:r>
                            </w:p>
                          </w:txbxContent>
                        </wps:txbx>
                        <wps:bodyPr rot="0" vert="horz" wrap="square" lIns="91440" tIns="45720" rIns="91440" bIns="45720" anchor="ctr" anchorCtr="0" upright="1">
                          <a:noAutofit/>
                        </wps:bodyPr>
                      </wps:wsp>
                      <wps:wsp>
                        <wps:cNvPr id="53" name="直线 138"/>
                        <wps:cNvCnPr>
                          <a:cxnSpLocks noChangeShapeType="1"/>
                        </wps:cNvCnPr>
                        <wps:spPr bwMode="auto">
                          <a:xfrm>
                            <a:off x="0" y="1350010"/>
                            <a:ext cx="542925" cy="635"/>
                          </a:xfrm>
                          <a:prstGeom prst="line">
                            <a:avLst/>
                          </a:prstGeom>
                          <a:noFill/>
                          <a:ln w="9525">
                            <a:solidFill>
                              <a:srgbClr val="000000"/>
                            </a:solidFill>
                            <a:round/>
                          </a:ln>
                          <a:effectLst/>
                        </wps:spPr>
                        <wps:bodyPr/>
                      </wps:wsp>
                      <wps:wsp>
                        <wps:cNvPr id="54" name="直线 140"/>
                        <wps:cNvCnPr>
                          <a:cxnSpLocks noChangeShapeType="1"/>
                        </wps:cNvCnPr>
                        <wps:spPr bwMode="auto">
                          <a:xfrm flipH="1">
                            <a:off x="0" y="323850"/>
                            <a:ext cx="542925" cy="1000125"/>
                          </a:xfrm>
                          <a:prstGeom prst="line">
                            <a:avLst/>
                          </a:prstGeom>
                          <a:noFill/>
                          <a:ln w="9525">
                            <a:solidFill>
                              <a:srgbClr val="000000"/>
                            </a:solidFill>
                            <a:round/>
                          </a:ln>
                          <a:effectLst/>
                        </wps:spPr>
                        <wps:bodyPr/>
                      </wps:wsp>
                      <wps:wsp>
                        <wps:cNvPr id="55" name="直线 141"/>
                        <wps:cNvCnPr>
                          <a:cxnSpLocks noChangeShapeType="1"/>
                        </wps:cNvCnPr>
                        <wps:spPr bwMode="auto">
                          <a:xfrm flipH="1" flipV="1">
                            <a:off x="9525" y="1350010"/>
                            <a:ext cx="533400" cy="1028700"/>
                          </a:xfrm>
                          <a:prstGeom prst="line">
                            <a:avLst/>
                          </a:prstGeom>
                          <a:noFill/>
                          <a:ln w="9525">
                            <a:solidFill>
                              <a:srgbClr val="000000"/>
                            </a:solidFill>
                            <a:round/>
                          </a:ln>
                          <a:effectLst/>
                        </wps:spPr>
                        <wps:bodyPr/>
                      </wps:wsp>
                      <wps:wsp>
                        <wps:cNvPr id="56" name="直线 142"/>
                        <wps:cNvCnPr>
                          <a:cxnSpLocks noChangeShapeType="1"/>
                        </wps:cNvCnPr>
                        <wps:spPr bwMode="auto">
                          <a:xfrm>
                            <a:off x="1228725" y="377803"/>
                            <a:ext cx="266700" cy="635"/>
                          </a:xfrm>
                          <a:prstGeom prst="line">
                            <a:avLst/>
                          </a:prstGeom>
                          <a:noFill/>
                          <a:ln w="9525">
                            <a:solidFill>
                              <a:srgbClr val="000000"/>
                            </a:solidFill>
                            <a:round/>
                          </a:ln>
                          <a:effectLst/>
                        </wps:spPr>
                        <wps:bodyPr/>
                      </wps:wsp>
                      <wps:wsp>
                        <wps:cNvPr id="57" name="直线 144"/>
                        <wps:cNvCnPr>
                          <a:cxnSpLocks noChangeShapeType="1"/>
                        </wps:cNvCnPr>
                        <wps:spPr bwMode="auto">
                          <a:xfrm flipV="1">
                            <a:off x="1252220" y="1067435"/>
                            <a:ext cx="294640" cy="283845"/>
                          </a:xfrm>
                          <a:prstGeom prst="line">
                            <a:avLst/>
                          </a:prstGeom>
                          <a:noFill/>
                          <a:ln w="9525">
                            <a:solidFill>
                              <a:srgbClr val="000000"/>
                            </a:solidFill>
                            <a:round/>
                          </a:ln>
                          <a:effectLst/>
                        </wps:spPr>
                        <wps:bodyPr/>
                      </wps:wsp>
                      <wps:wsp>
                        <wps:cNvPr id="58" name="直线 145"/>
                        <wps:cNvCnPr>
                          <a:cxnSpLocks noChangeShapeType="1"/>
                        </wps:cNvCnPr>
                        <wps:spPr bwMode="auto">
                          <a:xfrm>
                            <a:off x="1260475" y="1350010"/>
                            <a:ext cx="286385" cy="276860"/>
                          </a:xfrm>
                          <a:prstGeom prst="line">
                            <a:avLst/>
                          </a:prstGeom>
                          <a:noFill/>
                          <a:ln w="9525">
                            <a:solidFill>
                              <a:srgbClr val="000000"/>
                            </a:solidFill>
                            <a:round/>
                          </a:ln>
                          <a:effectLst/>
                        </wps:spPr>
                        <wps:bodyPr/>
                      </wps:wsp>
                      <wps:wsp>
                        <wps:cNvPr id="59" name="直线 146"/>
                        <wps:cNvCnPr>
                          <a:cxnSpLocks noChangeShapeType="1"/>
                        </wps:cNvCnPr>
                        <wps:spPr bwMode="auto">
                          <a:xfrm>
                            <a:off x="2614295" y="1067435"/>
                            <a:ext cx="266065" cy="635"/>
                          </a:xfrm>
                          <a:prstGeom prst="line">
                            <a:avLst/>
                          </a:prstGeom>
                          <a:noFill/>
                          <a:ln w="9525">
                            <a:solidFill>
                              <a:srgbClr val="000000"/>
                            </a:solidFill>
                            <a:round/>
                          </a:ln>
                          <a:effectLst/>
                        </wps:spPr>
                        <wps:bodyPr/>
                      </wps:wsp>
                      <wps:wsp>
                        <wps:cNvPr id="60" name="直线 147"/>
                        <wps:cNvCnPr>
                          <a:cxnSpLocks noChangeShapeType="1"/>
                        </wps:cNvCnPr>
                        <wps:spPr bwMode="auto">
                          <a:xfrm>
                            <a:off x="4019286" y="2818130"/>
                            <a:ext cx="254000" cy="0"/>
                          </a:xfrm>
                          <a:prstGeom prst="line">
                            <a:avLst/>
                          </a:prstGeom>
                          <a:noFill/>
                          <a:ln w="9525">
                            <a:solidFill>
                              <a:srgbClr val="000000"/>
                            </a:solidFill>
                            <a:round/>
                          </a:ln>
                          <a:effectLst/>
                        </wps:spPr>
                        <wps:bodyPr/>
                      </wps:wsp>
                      <wps:wsp>
                        <wps:cNvPr id="61" name="直线 148"/>
                        <wps:cNvCnPr>
                          <a:cxnSpLocks noChangeShapeType="1"/>
                        </wps:cNvCnPr>
                        <wps:spPr bwMode="auto">
                          <a:xfrm flipV="1">
                            <a:off x="2614295" y="1447800"/>
                            <a:ext cx="281940" cy="170815"/>
                          </a:xfrm>
                          <a:prstGeom prst="line">
                            <a:avLst/>
                          </a:prstGeom>
                          <a:noFill/>
                          <a:ln w="9525">
                            <a:solidFill>
                              <a:srgbClr val="000000"/>
                            </a:solidFill>
                            <a:round/>
                          </a:ln>
                          <a:effectLst/>
                        </wps:spPr>
                        <wps:bodyPr/>
                      </wps:wsp>
                      <wps:wsp>
                        <wps:cNvPr id="62" name="直线 149"/>
                        <wps:cNvCnPr>
                          <a:cxnSpLocks noChangeShapeType="1"/>
                        </wps:cNvCnPr>
                        <wps:spPr bwMode="auto">
                          <a:xfrm>
                            <a:off x="2624455" y="1618615"/>
                            <a:ext cx="271780" cy="210185"/>
                          </a:xfrm>
                          <a:prstGeom prst="line">
                            <a:avLst/>
                          </a:prstGeom>
                          <a:noFill/>
                          <a:ln w="9525">
                            <a:solidFill>
                              <a:srgbClr val="000000"/>
                            </a:solidFill>
                            <a:round/>
                          </a:ln>
                          <a:effectLst/>
                        </wps:spPr>
                        <wps:bodyPr/>
                      </wps:wsp>
                      <wps:wsp>
                        <wps:cNvPr id="63" name="直线 150"/>
                        <wps:cNvCnPr>
                          <a:cxnSpLocks noChangeShapeType="1"/>
                        </wps:cNvCnPr>
                        <wps:spPr bwMode="auto">
                          <a:xfrm flipV="1">
                            <a:off x="3100070" y="2428875"/>
                            <a:ext cx="186055" cy="190500"/>
                          </a:xfrm>
                          <a:prstGeom prst="line">
                            <a:avLst/>
                          </a:prstGeom>
                          <a:noFill/>
                          <a:ln w="9525">
                            <a:solidFill>
                              <a:srgbClr val="000000"/>
                            </a:solidFill>
                            <a:round/>
                          </a:ln>
                          <a:effectLst/>
                        </wps:spPr>
                        <wps:bodyPr/>
                      </wps:wsp>
                      <wps:wsp>
                        <wps:cNvPr id="64" name="直线 151"/>
                        <wps:cNvCnPr>
                          <a:cxnSpLocks noChangeShapeType="1"/>
                        </wps:cNvCnPr>
                        <wps:spPr bwMode="auto">
                          <a:xfrm>
                            <a:off x="3109595" y="2619375"/>
                            <a:ext cx="201295" cy="198755"/>
                          </a:xfrm>
                          <a:prstGeom prst="line">
                            <a:avLst/>
                          </a:prstGeom>
                          <a:noFill/>
                          <a:ln w="9525">
                            <a:solidFill>
                              <a:srgbClr val="000000"/>
                            </a:solidFill>
                            <a:round/>
                          </a:ln>
                          <a:effectLst/>
                        </wps:spPr>
                        <wps:bodyPr/>
                      </wps:wsp>
                      <wps:wsp>
                        <wps:cNvPr id="65" name="直线 153"/>
                        <wps:cNvCnPr>
                          <a:cxnSpLocks noChangeShapeType="1"/>
                        </wps:cNvCnPr>
                        <wps:spPr bwMode="auto">
                          <a:xfrm flipH="1">
                            <a:off x="4019286" y="2494280"/>
                            <a:ext cx="266700" cy="323850"/>
                          </a:xfrm>
                          <a:prstGeom prst="line">
                            <a:avLst/>
                          </a:prstGeom>
                          <a:noFill/>
                          <a:ln w="9525">
                            <a:solidFill>
                              <a:srgbClr val="000000"/>
                            </a:solidFill>
                            <a:round/>
                          </a:ln>
                          <a:effectLst/>
                        </wps:spPr>
                        <wps:bodyPr/>
                      </wps:wsp>
                      <wps:wsp>
                        <wps:cNvPr id="66" name="直线 154"/>
                        <wps:cNvCnPr>
                          <a:cxnSpLocks noChangeShapeType="1"/>
                        </wps:cNvCnPr>
                        <wps:spPr bwMode="auto">
                          <a:xfrm flipH="1" flipV="1">
                            <a:off x="4033520" y="2818130"/>
                            <a:ext cx="276225" cy="358775"/>
                          </a:xfrm>
                          <a:prstGeom prst="line">
                            <a:avLst/>
                          </a:prstGeom>
                          <a:noFill/>
                          <a:ln w="9525">
                            <a:solidFill>
                              <a:srgbClr val="000000"/>
                            </a:solidFill>
                            <a:round/>
                          </a:ln>
                          <a:effectLst/>
                        </wps:spPr>
                        <wps:bodyPr/>
                      </wps:wsp>
                      <wps:wsp>
                        <wps:cNvPr id="67" name="直线 155"/>
                        <wps:cNvCnPr>
                          <a:cxnSpLocks noChangeShapeType="1"/>
                        </wps:cNvCnPr>
                        <wps:spPr bwMode="auto">
                          <a:xfrm flipV="1">
                            <a:off x="1238250" y="2099310"/>
                            <a:ext cx="292100" cy="279400"/>
                          </a:xfrm>
                          <a:prstGeom prst="line">
                            <a:avLst/>
                          </a:prstGeom>
                          <a:noFill/>
                          <a:ln w="9525">
                            <a:solidFill>
                              <a:srgbClr val="000000"/>
                            </a:solidFill>
                            <a:round/>
                          </a:ln>
                          <a:effectLst/>
                        </wps:spPr>
                        <wps:bodyPr/>
                      </wps:wsp>
                      <wps:wsp>
                        <wps:cNvPr id="68" name="直线 156"/>
                        <wps:cNvCnPr>
                          <a:cxnSpLocks noChangeShapeType="1"/>
                        </wps:cNvCnPr>
                        <wps:spPr bwMode="auto">
                          <a:xfrm>
                            <a:off x="1252220" y="2378710"/>
                            <a:ext cx="279400" cy="266700"/>
                          </a:xfrm>
                          <a:prstGeom prst="line">
                            <a:avLst/>
                          </a:prstGeom>
                          <a:noFill/>
                          <a:ln w="9525">
                            <a:solidFill>
                              <a:srgbClr val="000000"/>
                            </a:solidFill>
                            <a:round/>
                          </a:ln>
                          <a:effectLst/>
                        </wps:spPr>
                        <wps:bodyPr/>
                      </wps:wsp>
                      <wps:wsp>
                        <wps:cNvPr id="69" name="流程图: 过程 4"/>
                        <wps:cNvSpPr>
                          <a:spLocks noChangeArrowheads="1"/>
                        </wps:cNvSpPr>
                        <wps:spPr bwMode="auto">
                          <a:xfrm>
                            <a:off x="2896235" y="942975"/>
                            <a:ext cx="1047750" cy="266700"/>
                          </a:xfrm>
                          <a:prstGeom prst="flowChartProcess">
                            <a:avLst/>
                          </a:prstGeom>
                          <a:noFill/>
                          <a:ln w="12700">
                            <a:solidFill>
                              <a:srgbClr val="000000"/>
                            </a:solidFill>
                            <a:miter lim="800000"/>
                          </a:ln>
                        </wps:spPr>
                        <wps:txbx>
                          <w:txbxContent>
                            <w:p>
                              <w:pPr>
                                <w:jc w:val="center"/>
                                <w:rPr>
                                  <w:rFonts w:ascii="宋体" w:hAnsi="宋体" w:cs="宋体"/>
                                  <w:color w:val="000000"/>
                                  <w:sz w:val="18"/>
                                  <w:szCs w:val="18"/>
                                </w:rPr>
                              </w:pPr>
                              <w:r>
                                <w:rPr>
                                  <w:rFonts w:hint="eastAsia" w:ascii="宋体" w:hAnsi="宋体" w:cs="宋体"/>
                                  <w:color w:val="000000"/>
                                  <w:sz w:val="18"/>
                                  <w:szCs w:val="18"/>
                                </w:rPr>
                                <w:t>诊断性测试</w:t>
                              </w:r>
                            </w:p>
                          </w:txbxContent>
                        </wps:txbx>
                        <wps:bodyPr rot="0" vert="horz" wrap="square" lIns="91440" tIns="45720" rIns="91440" bIns="45720" anchor="ctr" anchorCtr="0" upright="1">
                          <a:noAutofit/>
                        </wps:bodyPr>
                      </wps:wsp>
                    </wpc:wpc>
                  </a:graphicData>
                </a:graphic>
              </wp:inline>
            </w:drawing>
          </mc:Choice>
          <mc:Fallback>
            <w:pict>
              <v:group id="_x0000_s1026" o:spid="_x0000_s1026" o:spt="203" style="height:247.25pt;width:415.3pt;" coordsize="5274310,3140075" editas="canvas" o:gfxdata="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SMgfudgAAAAFAQAADwAAAAAAAAABACAAAAAiAAAAZHJzL2Rvd25yZXYueG1sUEsBAhQAFAAA&#10;AAgAh07iQFPJbjpHBwAArUsAAA4AAAAAAAAAAQAgAAAAJwEAAGRycy9lMm9Eb2MueG1sUEsFBgAA&#10;AAAGAAYAWQEAAOAKAAAAAA==&#10;">
                <o:lock v:ext="edit" aspectratio="f"/>
                <v:shape id="_x0000_s1026" o:spid="_x0000_s1026" style="position:absolute;left:0;top:0;height:3140075;width:5274310;" filled="f" stroked="f" coordsize="21600,21600" o:gfxdata="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">
                  <v:fill on="f" focussize="0,0"/>
                  <v:stroke on="f"/>
                  <v:imagedata o:title=""/>
                  <o:lock v:ext="edit" aspectratio="f"/>
                </v:shape>
                <v:shape id="流程图: 过程 4" o:spid="_x0000_s1026" o:spt="109" type="#_x0000_t109" style="position:absolute;left:547370;top:219075;height:266700;width:67183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vELG9UAAAAFAQAADwAAAAAAAAABACAAAAAiAAAAZHJzL2Rv&#10;d25yZXYueG1sUEsBAhQAFAAAAAgAh07iQFVPbJU9AgAANQQAAA4AAAAAAAAAAQAgAAAAJAEAAGRy&#10;cy9lMm9Eb2MueG1sUEsFBgAAAAAGAAYAWQEAANMFA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平时成绩（25%）</w:t>
                        </w:r>
                      </w:p>
                    </w:txbxContent>
                  </v:textbox>
                </v:shape>
                <v:shape id="流程图: 过程 4" o:spid="_x0000_s1026" o:spt="109" type="#_x0000_t109" style="position:absolute;left:547370;top:1219200;height:266700;width:69088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8Qsb1QAAAAUBAAAPAAAAAAAAAAEAIAAAACIAAABkcnMvZG93&#10;bnJldi54bWxQSwECFAAUAAAACACHTuJA7w0vFzwCAAA2BAAADgAAAAAAAAABACAAAAAkAQAAZHJz&#10;L2Uyb0RvYy54bWxQSwUGAAAAAAYABgBZAQAA0g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单元成绩（20%）</w:t>
                        </w:r>
                      </w:p>
                    </w:txbxContent>
                  </v:textbox>
                </v:shape>
                <v:shape id="流程图: 过程 4" o:spid="_x0000_s1026" o:spt="109" type="#_x0000_t109" style="position:absolute;left:547370;top:2247900;height:266700;width:681355;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8Qsb1QAAAAUBAAAPAAAAAAAAAAEAIAAAACIAAABkcnMvZG93&#10;bnJldi54bWxQSwECFAAUAAAACACHTuJAMuRRfDwCAAA2BAAADgAAAAAAAAABACAAAAAkAQAAZHJz&#10;L2Uyb0RvYy54bWxQSwUGAAAAAAYABgBZAQAA0g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实验成绩（25%）</w:t>
                        </w:r>
                      </w:p>
                    </w:txbxContent>
                  </v:textbox>
                </v:shape>
                <v:shape id="流程图: 过程 4" o:spid="_x0000_s1026" o:spt="109" type="#_x0000_t109" style="position:absolute;left:1515745;top:219075;height:322580;width:19240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vELG9UAAAAFAQAADwAAAAAAAAABACAAAAAiAAAAZHJz&#10;L2Rvd25yZXYueG1sUEsBAhQAFAAAAAgAh07iQLcKhPZAAgAANwQAAA4AAAAAAAAAAQAgAAAAJAEA&#10;AGRycy9lMm9Eb2MueG1sUEsFBgAAAAAGAAYAWQEAANYFAAAAAA==&#10;">
                  <v:fill on="f" focussize="0,0"/>
                  <v:stroke weight="1pt" color="#000000" miterlimit="8" joinstyle="miter"/>
                  <v:imagedata o:title=""/>
                  <o:lock v:ext="edit" aspectratio="f"/>
                  <v:textbox>
                    <w:txbxContent>
                      <w:p>
                        <w:pPr>
                          <w:rPr>
                            <w:rFonts w:ascii="宋体" w:hAnsi="宋体" w:cs="宋体"/>
                            <w:color w:val="000000"/>
                            <w:sz w:val="18"/>
                            <w:szCs w:val="18"/>
                          </w:rPr>
                        </w:pPr>
                        <w:r>
                          <w:rPr>
                            <w:rFonts w:hint="eastAsia" w:ascii="宋体" w:hAnsi="宋体" w:cs="宋体"/>
                            <w:color w:val="000000"/>
                            <w:sz w:val="18"/>
                            <w:szCs w:val="18"/>
                          </w:rPr>
                          <w:t>日常学习观察点表（A1-A6、B1</w:t>
                        </w:r>
                        <w:r>
                          <w:rPr>
                            <w:rFonts w:ascii="宋体" w:hAnsi="宋体" w:cs="宋体"/>
                            <w:color w:val="000000"/>
                            <w:sz w:val="18"/>
                            <w:szCs w:val="18"/>
                          </w:rPr>
                          <w:t>-B6</w:t>
                        </w:r>
                        <w:r>
                          <w:rPr>
                            <w:rFonts w:hint="eastAsia" w:ascii="宋体" w:hAnsi="宋体" w:cs="宋体"/>
                            <w:color w:val="000000"/>
                            <w:sz w:val="18"/>
                            <w:szCs w:val="18"/>
                          </w:rPr>
                          <w:t>）</w:t>
                        </w:r>
                      </w:p>
                    </w:txbxContent>
                  </v:textbox>
                </v:shape>
                <v:shape id="流程图: 过程 4" o:spid="_x0000_s1026" o:spt="109" type="#_x0000_t109" style="position:absolute;left:1546860;top:952500;height:266700;width:10477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vELG9UAAAAFAQAADwAAAAAAAAABACAAAAAiAAAAZHJzL2Rv&#10;d25yZXYueG1sUEsBAhQAFAAAAAgAh07iQDHE1dI9AgAANwQAAA4AAAAAAAAAAQAgAAAAJAEAAGRy&#10;cy9lMm9Eb2MueG1sUEsFBgAAAAAGAAYAWQEAANMFA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单元测试（A1）</w:t>
                        </w:r>
                      </w:p>
                    </w:txbxContent>
                  </v:textbox>
                </v:shape>
                <v:shape id="流程图: 过程 4" o:spid="_x0000_s1026" o:spt="109" type="#_x0000_t109" style="position:absolute;left:1566545;top:1447800;height:266700;width:10477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LxCxvVAAAABQEAAA8AAAAAAAAAAQAgAAAAIgAAAGRycy9k&#10;b3ducmV2LnhtbFBLAQIUABQAAAAIAIdO4kCZMimvPgIAADgEAAAOAAAAAAAAAAEAIAAAACQBAABk&#10;cnMvZTJvRG9jLnhtbFBLBQYAAAAABgAGAFkBAADUBQ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小习作(B2)</w:t>
                        </w:r>
                      </w:p>
                    </w:txbxContent>
                  </v:textbox>
                </v:shape>
                <v:shape id="流程图: 过程 4" o:spid="_x0000_s1026" o:spt="109" type="#_x0000_t109" style="position:absolute;left:2909569;top:1323975;height:266700;width:10477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xCxvVAAAABQEAAA8AAAAAAAAAAQAgAAAAIgAAAGRy&#10;cy9kb3ducmV2LnhtbFBLAQIUABQAAAAIAIdO4kBvc8eIQQIAADgEAAAOAAAAAAAAAAEAIAAAACQB&#10;AABkcnMvZTJvRG9jLnhtbFBLBQYAAAAABgAGAFkBAADXBQ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结构分析</w:t>
                        </w:r>
                      </w:p>
                    </w:txbxContent>
                  </v:textbox>
                </v:shape>
                <v:shape id="流程图: 过程 4" o:spid="_x0000_s1026" o:spt="109" type="#_x0000_t109" style="position:absolute;left:2919094;top:1676400;height:266700;width:10477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8Qsb1QAAAAUBAAAPAAAAAAAAAAEAIAAAACIAAABkcnMv&#10;ZG93bnJldi54bWxQSwECFAAUAAAACACHTuJAvsCK6T8CAAA4BAAADgAAAAAAAAABACAAAAAkAQAA&#10;ZHJzL2Uyb0RvYy54bWxQSwUGAAAAAAYABgBZAQAA1Q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逻辑流程图</w:t>
                        </w:r>
                      </w:p>
                    </w:txbxContent>
                  </v:textbox>
                </v:shape>
                <v:shape id="流程图: 过程 4" o:spid="_x0000_s1026" o:spt="109" type="#_x0000_t109" style="position:absolute;left:1531620;top:1990725;height:266700;width:10477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8Qsb1QAAAAUBAAAPAAAAAAAAAAEAIAAAACIAAABkcnMv&#10;ZG93bnJldi54bWxQSwECFAAUAAAACACHTuJArOsutj8CAAA4BAAADgAAAAAAAAABACAAAAAkAQAA&#10;ZHJzL2Uyb0RvYy54bWxQSwUGAAAAAAYABgBZAQAA1Q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网络学习（A1）</w:t>
                        </w:r>
                      </w:p>
                    </w:txbxContent>
                  </v:textbox>
                </v:shape>
                <v:shape id="流程图: 过程 4" o:spid="_x0000_s1026" o:spt="109" type="#_x0000_t109" style="position:absolute;left:1531620;top:2418972;height:369968;width:154686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vELG9UAAAAFAQAADwAAAAAAAAABACAAAAAiAAAAZHJz&#10;L2Rvd25yZXYueG1sUEsBAhQAFAAAAAgAh07iQPg7qXFAAgAAOAQAAA4AAAAAAAAAAQAgAAAAJAEA&#10;AGRycy9lMm9Eb2MueG1sUEsFBgAAAAAGAAYAWQEAANYFA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教学实践(C3-</w:t>
                        </w:r>
                        <w:r>
                          <w:rPr>
                            <w:rFonts w:ascii="宋体" w:hAnsi="宋体" w:cs="宋体"/>
                            <w:color w:val="000000"/>
                            <w:sz w:val="18"/>
                            <w:szCs w:val="18"/>
                          </w:rPr>
                          <w:t>C6</w:t>
                        </w:r>
                        <w:r>
                          <w:rPr>
                            <w:rFonts w:hint="eastAsia" w:ascii="宋体" w:hAnsi="宋体" w:cs="宋体"/>
                            <w:color w:val="000000"/>
                            <w:sz w:val="18"/>
                            <w:szCs w:val="18"/>
                          </w:rPr>
                          <w:t>、D3</w:t>
                        </w:r>
                        <w:r>
                          <w:rPr>
                            <w:rFonts w:ascii="宋体" w:hAnsi="宋体" w:cs="宋体"/>
                            <w:color w:val="000000"/>
                            <w:sz w:val="18"/>
                            <w:szCs w:val="18"/>
                          </w:rPr>
                          <w:t>-</w:t>
                        </w:r>
                        <w:r>
                          <w:rPr>
                            <w:rFonts w:hint="eastAsia" w:ascii="宋体" w:hAnsi="宋体" w:cs="宋体"/>
                            <w:color w:val="000000"/>
                            <w:sz w:val="18"/>
                            <w:szCs w:val="18"/>
                          </w:rPr>
                          <w:t>D6)</w:t>
                        </w:r>
                      </w:p>
                    </w:txbxContent>
                  </v:textbox>
                </v:shape>
                <v:shape id="流程图: 过程 4" o:spid="_x0000_s1026" o:spt="109" type="#_x0000_t109" style="position:absolute;left:3285859;top:2320944;height:266700;width:695591;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xCxvVAAAABQEAAA8AAAAAAAAAAQAgAAAAIgAAAGRy&#10;cy9kb3ducmV2LnhtbFBLAQIUABQAAAAIAIdO4kDOdQWWQQIAADcEAAAOAAAAAAAAAAEAIAAAACQB&#10;AABkcnMvZTJvRG9jLnhtbFBLBQYAAAAABgAGAFkBAADXBQ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论文写作</w:t>
                        </w:r>
                      </w:p>
                    </w:txbxContent>
                  </v:textbox>
                </v:shape>
                <v:shape id="流程图: 过程 4" o:spid="_x0000_s1026" o:spt="109" type="#_x0000_t109" style="position:absolute;left:3319344;top:2705104;height:304796;width:699938;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xCxvVAAAABQEAAA8AAAAAAAAAAQAgAAAAIgAAAGRy&#10;cy9kb3ducmV2LnhtbFBLAQIUABQAAAAIAIdO4kB0C5+mQQIAADcEAAAOAAAAAAAAAAEAIAAAACQB&#10;AABkcnMvZTJvRG9jLnhtbFBLBQYAAAAABgAGAFkBAADXBQ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实践考核</w:t>
                        </w:r>
                      </w:p>
                    </w:txbxContent>
                  </v:textbox>
                </v:shape>
                <v:shape id="流程图: 过程 4" o:spid="_x0000_s1026" o:spt="109" type="#_x0000_t109" style="position:absolute;left:4320826;top:2320944;height:266700;width:717899;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8Qsb1QAAAAUBAAAPAAAAAAAAAAEAIAAAACIAAABkcnMv&#10;ZG93bnJldi54bWxQSwECFAAUAAAACACHTuJAihxfsT8CAAA3BAAADgAAAAAAAAABACAAAAAkAQAA&#10;ZHJzL2Uyb0RvYy54bWxQSwUGAAAAAAYABgBZAQAA1Q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专家组评分</w:t>
                        </w:r>
                      </w:p>
                    </w:txbxContent>
                  </v:textbox>
                </v:shape>
                <v:shape id="流程图: 过程 4" o:spid="_x0000_s1026" o:spt="109" type="#_x0000_t109" style="position:absolute;left:4347495;top:3038475;height:266700;width:700756;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8Qsb1QAAAAUBAAAPAAAAAAAAAAEAIAAAACIAAABkcnMv&#10;ZG93bnJldi54bWxQSwECFAAUAAAACACHTuJAdp1w1z8CAAA3BAAADgAAAAAAAAABACAAAAAkAQAA&#10;ZHJzL2Uyb0RvYy54bWxQSwUGAAAAAAYABgBZAQAA1Q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同辈评分</w:t>
                        </w:r>
                      </w:p>
                    </w:txbxContent>
                  </v:textbox>
                </v:shape>
                <v:shape id="流程图: 过程 4" o:spid="_x0000_s1026" o:spt="109" type="#_x0000_t109" style="position:absolute;left:4320827;top:2676529;height:266700;width:717492;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8Qsb1QAAAAUBAAAPAAAAAAAAAAEAIAAAACIAAABkcnMv&#10;ZG93bnJldi54bWxQSwECFAAUAAAACACHTuJANuyMcz8CAAA3BAAADgAAAAAAAAABACAAAAAkAQAA&#10;ZHJzL2Uyb0RvYy54bWxQSwUGAAAAAAYABgBZAQAA1Q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学生自评</w:t>
                        </w:r>
                      </w:p>
                    </w:txbxContent>
                  </v:textbox>
                </v:shape>
                <v:line id="直线 138" o:spid="_x0000_s1026" o:spt="20" style="position:absolute;left:0;top:1350010;height:635;width:542925;"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2zCHG1QAAAAUBAAAPAAAAAAAAAAEAIAAAACIAAABkcnMvZG93&#10;bnJldi54bWxQSwECFAAUAAAACACHTuJA85Kji8oBAABrAwAADgAAAAAAAAABACAAAAAkAQAAZHJz&#10;L2Uyb0RvYy54bWxQSwUGAAAAAAYABgBZAQAAYAUAAAAA&#10;">
                  <v:fill on="f" focussize="0,0"/>
                  <v:stroke color="#000000" joinstyle="round"/>
                  <v:imagedata o:title=""/>
                  <o:lock v:ext="edit" aspectratio="f"/>
                </v:line>
                <v:line id="直线 140" o:spid="_x0000_s1026" o:spt="20" style="position:absolute;left:0;top:323850;flip:x;height:1000125;width:542925;" filled="f" stroked="t" coordsize="21600,21600" o:gfxdata="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ouaNUAAAAFAQAADwAAAAAAAAABACAAAAAi&#10;AAAAZHJzL2Rvd25yZXYueG1sUEsBAhQAFAAAAAgAh07iQKqseczUAQAAeAMAAA4AAAAAAAAAAQAg&#10;AAAAJAEAAGRycy9lMm9Eb2MueG1sUEsFBgAAAAAGAAYAWQEAAGoFAAAAAA==&#10;">
                  <v:fill on="f" focussize="0,0"/>
                  <v:stroke color="#000000" joinstyle="round"/>
                  <v:imagedata o:title=""/>
                  <o:lock v:ext="edit" aspectratio="f"/>
                </v:line>
                <v:line id="直线 141" o:spid="_x0000_s1026" o:spt="20" style="position:absolute;left:9525;top:1350010;flip:x y;height:1028700;width:533400;" filled="f" stroked="t" coordsize="21600,21600" o:gfxdata="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Vb230gAAAAUBAAAPAAAAAAAAAAEAIAAA&#10;ACIAAABkcnMvZG93bnJldi54bWxQSwECFAAUAAAACACHTuJAzF6qXdkBAACGAwAADgAAAAAAAAAB&#10;ACAAAAAhAQAAZHJzL2Uyb0RvYy54bWxQSwUGAAAAAAYABgBZAQAAbAUAAAAA&#10;">
                  <v:fill on="f" focussize="0,0"/>
                  <v:stroke color="#000000" joinstyle="round"/>
                  <v:imagedata o:title=""/>
                  <o:lock v:ext="edit" aspectratio="f"/>
                </v:line>
                <v:line id="直线 142" o:spid="_x0000_s1026" o:spt="20" style="position:absolute;left:1228725;top:377803;height:635;width:266700;"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&#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2zCHG1QAAAAUBAAAPAAAAAAAAAAEAIAAAACIAAABk&#10;cnMvZG93bnJldi54bWxQSwECFAAUAAAACACHTuJAFwYd8dABAABwAwAADgAAAAAAAAABACAAAAAk&#10;AQAAZHJzL2Uyb0RvYy54bWxQSwUGAAAAAAYABgBZAQAAZgUAAAAA&#10;">
                  <v:fill on="f" focussize="0,0"/>
                  <v:stroke color="#000000" joinstyle="round"/>
                  <v:imagedata o:title=""/>
                  <o:lock v:ext="edit" aspectratio="f"/>
                </v:line>
                <v:line id="直线 144" o:spid="_x0000_s1026" o:spt="20" style="position:absolute;left:1252220;top:1067435;flip:y;height:283845;width:294640;" filled="f" stroked="t" coordsize="21600,21600" o:gfxdata="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r6LmjVAAAABQEAAA8AAAAAAAAA&#10;AQAgAAAAIgAAAGRycy9kb3ducmV2LnhtbFBLAQIUABQAAAAIAIdO4kAa2dsb2wEAAH4DAAAOAAAA&#10;AAAAAAEAIAAAACQBAABkcnMvZTJvRG9jLnhtbFBLBQYAAAAABgAGAFkBAABxBQAAAAA=&#10;">
                  <v:fill on="f" focussize="0,0"/>
                  <v:stroke color="#000000" joinstyle="round"/>
                  <v:imagedata o:title=""/>
                  <o:lock v:ext="edit" aspectratio="f"/>
                </v:line>
                <v:line id="直线 145" o:spid="_x0000_s1026" o:spt="20" style="position:absolute;left:1260475;top:1350010;height:276860;width:286385;"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swhxtUAAAAFAQAADwAAAAAAAAABACAAAAAi&#10;AAAAZHJzL2Rvd25yZXYueG1sUEsBAhQAFAAAAAgAh07iQApmpMLUAQAAdAMAAA4AAAAAAAAAAQAg&#10;AAAAJAEAAGRycy9lMm9Eb2MueG1sUEsFBgAAAAAGAAYAWQEAAGoFAAAAAA==&#10;">
                  <v:fill on="f" focussize="0,0"/>
                  <v:stroke color="#000000" joinstyle="round"/>
                  <v:imagedata o:title=""/>
                  <o:lock v:ext="edit" aspectratio="f"/>
                </v:line>
                <v:line id="直线 146" o:spid="_x0000_s1026" o:spt="20" style="position:absolute;left:2614295;top:1067435;height:635;width:266065;"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swhxtUAAAAFAQAADwAAAAAAAAABACAAAAAiAAAA&#10;ZHJzL2Rvd25yZXYueG1sUEsBAhQAFAAAAAgAh07iQMrUmVrRAQAAcQMAAA4AAAAAAAAAAQAgAAAA&#10;JAEAAGRycy9lMm9Eb2MueG1sUEsFBgAAAAAGAAYAWQEAAGcFAAAAAA==&#10;">
                  <v:fill on="f" focussize="0,0"/>
                  <v:stroke color="#000000" joinstyle="round"/>
                  <v:imagedata o:title=""/>
                  <o:lock v:ext="edit" aspectratio="f"/>
                </v:line>
                <v:line id="直线 147" o:spid="_x0000_s1026" o:spt="20" style="position:absolute;left:4019286;top:2818130;height:0;width:254000;"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swhxtUAAAAFAQAADwAAAAAAAAABACAAAAAiAAAA&#10;ZHJzL2Rvd25yZXYueG1sUEsBAhQAFAAAAAgAh07iQNcN4DTRAQAAbwMAAA4AAAAAAAAAAQAgAAAA&#10;JAEAAGRycy9lMm9Eb2MueG1sUEsFBgAAAAAGAAYAWQEAAGcFAAAAAA==&#10;">
                  <v:fill on="f" focussize="0,0"/>
                  <v:stroke color="#000000" joinstyle="round"/>
                  <v:imagedata o:title=""/>
                  <o:lock v:ext="edit" aspectratio="f"/>
                </v:line>
                <v:line id="直线 148" o:spid="_x0000_s1026" o:spt="20" style="position:absolute;left:2614295;top:1447800;flip:y;height:170815;width:281940;" filled="f" stroked="t" coordsize="21600,21600" o:gfxdata="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6+i5o1QAAAAUBAAAPAAAAAAAAAAEA&#10;IAAAACIAAABkcnMvZG93bnJldi54bWxQSwECFAAUAAAACACHTuJACuTrktkBAAB+AwAADgAAAAAA&#10;AAABACAAAAAkAQAAZHJzL2Uyb0RvYy54bWxQSwUGAAAAAAYABgBZAQAAbwUAAAAA&#10;">
                  <v:fill on="f" focussize="0,0"/>
                  <v:stroke color="#000000" joinstyle="round"/>
                  <v:imagedata o:title=""/>
                  <o:lock v:ext="edit" aspectratio="f"/>
                </v:line>
                <v:line id="直线 149" o:spid="_x0000_s1026" o:spt="20" style="position:absolute;left:2624455;top:1618615;height:210185;width:271780;"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zCHG1QAAAAUBAAAPAAAAAAAAAAEAIAAA&#10;ACIAAABkcnMvZG93bnJldi54bWxQSwECFAAUAAAACACHTuJAgHT92NYBAAB0AwAADgAAAAAAAAAB&#10;ACAAAAAkAQAAZHJzL2Uyb0RvYy54bWxQSwUGAAAAAAYABgBZAQAAbAUAAAAA&#10;">
                  <v:fill on="f" focussize="0,0"/>
                  <v:stroke color="#000000" joinstyle="round"/>
                  <v:imagedata o:title=""/>
                  <o:lock v:ext="edit" aspectratio="f"/>
                </v:line>
                <v:line id="直线 150" o:spid="_x0000_s1026" o:spt="20" style="position:absolute;left:3100070;top:2428875;flip:y;height:190500;width:186055;" filled="f" stroked="t" coordsize="21600,21600" o:gfxdata="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r6LmjVAAAABQEAAA8AAAAA&#10;AAAAAQAgAAAAIgAAAGRycy9kb3ducmV2LnhtbFBLAQIUABQAAAAIAIdO4kC8bXEN3gEAAH4DAAAO&#10;AAAAAAAAAAEAIAAAACQBAABkcnMvZTJvRG9jLnhtbFBLBQYAAAAABgAGAFkBAAB0BQAAAAA=&#10;">
                  <v:fill on="f" focussize="0,0"/>
                  <v:stroke color="#000000" joinstyle="round"/>
                  <v:imagedata o:title=""/>
                  <o:lock v:ext="edit" aspectratio="f"/>
                </v:line>
                <v:line id="直线 151" o:spid="_x0000_s1026" o:spt="20" style="position:absolute;left:3109595;top:2619375;height:198755;width:201295;"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bMIcbVAAAABQEAAA8AAAAAAAAAAQAgAAAA&#10;IgAAAGRycy9kb3ducmV2LnhtbFBLAQIUABQAAAAIAIdO4kCeekrH1QEAAHQDAAAOAAAAAAAAAAEA&#10;IAAAACQBAABkcnMvZTJvRG9jLnhtbFBLBQYAAAAABgAGAFkBAABrBQAAAAA=&#10;">
                  <v:fill on="f" focussize="0,0"/>
                  <v:stroke color="#000000" joinstyle="round"/>
                  <v:imagedata o:title=""/>
                  <o:lock v:ext="edit" aspectratio="f"/>
                </v:line>
                <v:line id="直线 153" o:spid="_x0000_s1026" o:spt="20" style="position:absolute;left:4019286;top:2494280;flip:x;height:323850;width:266700;" filled="f" stroked="t" coordsize="21600,21600" o:gfxdata="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ouaNUAAAAFAQAADwAAAAAA&#10;AAABACAAAAAiAAAAZHJzL2Rvd25yZXYueG1sUEsBAhQAFAAAAAgAh07iQE7m+GTdAQAAfgMAAA4A&#10;AAAAAAAAAQAgAAAAJAEAAGRycy9lMm9Eb2MueG1sUEsFBgAAAAAGAAYAWQEAAHMFAAAAAA==&#10;">
                  <v:fill on="f" focussize="0,0"/>
                  <v:stroke color="#000000" joinstyle="round"/>
                  <v:imagedata o:title=""/>
                  <o:lock v:ext="edit" aspectratio="f"/>
                </v:line>
                <v:line id="直线 154" o:spid="_x0000_s1026" o:spt="20" style="position:absolute;left:4033520;top:2818130;flip:x y;height:358775;width:276225;" filled="f" stroked="t" coordsize="21600,21600" o:gfxdata="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Vb230gAAAAUBAAAPAAAAAAAA&#10;AAEAIAAAACIAAABkcnMvZG93bnJldi54bWxQSwECFAAUAAAACACHTuJANmvdlN8BAACIAwAADgAA&#10;AAAAAAABACAAAAAhAQAAZHJzL2Uyb0RvYy54bWxQSwUGAAAAAAYABgBZAQAAcgUAAAAA&#10;">
                  <v:fill on="f" focussize="0,0"/>
                  <v:stroke color="#000000" joinstyle="round"/>
                  <v:imagedata o:title=""/>
                  <o:lock v:ext="edit" aspectratio="f"/>
                </v:line>
                <v:line id="直线 155" o:spid="_x0000_s1026" o:spt="20" style="position:absolute;left:1238250;top:2099310;flip:y;height:279400;width:292100;" filled="f" stroked="t" coordsize="21600,21600" o:gfxdata="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ouaNUAAAAFAQAADwAAAAAAAAAB&#10;ACAAAAAiAAAAZHJzL2Rvd25yZXYueG1sUEsBAhQAFAAAAAgAh07iQFC8njLaAQAAfgMAAA4AAAAA&#10;AAAAAQAgAAAAJAEAAGRycy9lMm9Eb2MueG1sUEsFBgAAAAAGAAYAWQEAAHAFAAAAAA==&#10;">
                  <v:fill on="f" focussize="0,0"/>
                  <v:stroke color="#000000" joinstyle="round"/>
                  <v:imagedata o:title=""/>
                  <o:lock v:ext="edit" aspectratio="f"/>
                </v:line>
                <v:line id="直线 156" o:spid="_x0000_s1026" o:spt="20" style="position:absolute;left:1252220;top:2378710;height:266700;width:279400;" filled="f" stroked="t" coordsize="21600,21600" o:gfxdata="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bMIcbVAAAABQEAAA8AAAAAAAAAAQAgAAAAIgAA&#10;AGRycy9kb3ducmV2LnhtbFBLAQIUABQAAAAIAIdO4kBfZ+ka0gEAAHQDAAAOAAAAAAAAAAEAIAAA&#10;ACQBAABkcnMvZTJvRG9jLnhtbFBLBQYAAAAABgAGAFkBAABoBQAAAAA=&#10;">
                  <v:fill on="f" focussize="0,0"/>
                  <v:stroke color="#000000" joinstyle="round"/>
                  <v:imagedata o:title=""/>
                  <o:lock v:ext="edit" aspectratio="f"/>
                </v:line>
                <v:shape id="流程图: 过程 4" o:spid="_x0000_s1026" o:spt="109" type="#_x0000_t109" style="position:absolute;left:2896235;top:942975;height:266700;width:1047750;v-text-anchor:middle;" filled="f" stroked="t" coordsize="21600,21600" o:gfxdata="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8Qsb1QAAAAUBAAAPAAAAAAAAAAEAIAAAACIAAABkcnMvZG93&#10;bnJldi54bWxQSwECFAAUAAAACACHTuJA8yFszzwCAAApBAAADgAAAAAAAAABACAAAAAkAQAAZHJz&#10;L2Uyb0RvYy54bWxQSwUGAAAAAAYABgBZAQAA0gUAAAAA&#10;">
                  <v:fill on="f" focussize="0,0"/>
                  <v:stroke weight="1pt" color="#000000" miterlimit="8" joinstyle="miter"/>
                  <v:imagedata o:title=""/>
                  <o:lock v:ext="edit" aspectratio="f"/>
                  <v:textbox>
                    <w:txbxContent>
                      <w:p>
                        <w:pPr>
                          <w:jc w:val="center"/>
                          <w:rPr>
                            <w:rFonts w:ascii="宋体" w:hAnsi="宋体" w:cs="宋体"/>
                            <w:color w:val="000000"/>
                            <w:sz w:val="18"/>
                            <w:szCs w:val="18"/>
                          </w:rPr>
                        </w:pPr>
                        <w:r>
                          <w:rPr>
                            <w:rFonts w:hint="eastAsia" w:ascii="宋体" w:hAnsi="宋体" w:cs="宋体"/>
                            <w:color w:val="000000"/>
                            <w:sz w:val="18"/>
                            <w:szCs w:val="18"/>
                          </w:rPr>
                          <w:t>诊断性测试</w:t>
                        </w:r>
                      </w:p>
                    </w:txbxContent>
                  </v:textbox>
                </v:shape>
                <w10:wrap type="none"/>
                <w10:anchorlock/>
              </v:group>
            </w:pict>
          </mc:Fallback>
        </mc:AlternateContent>
      </w:r>
    </w:p>
    <w:p>
      <w:pPr>
        <w:widowControl/>
        <w:spacing w:line="400" w:lineRule="exact"/>
        <w:jc w:val="left"/>
        <w:rPr>
          <w:rFonts w:cs="宋体" w:asciiTheme="minorEastAsia" w:hAnsiTheme="minorEastAsia" w:eastAsiaTheme="minorEastAsia"/>
          <w:kern w:val="0"/>
          <w:szCs w:val="21"/>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为测试课程是否达到基于目标分类法设置的教学目标</w:t>
      </w:r>
      <w:r>
        <w:rPr>
          <w:rFonts w:hint="eastAsia" w:asciiTheme="minorEastAsia" w:hAnsiTheme="minorEastAsia" w:eastAsiaTheme="minorEastAsia"/>
          <w:szCs w:val="21"/>
        </w:rPr>
        <w:t>，评价方式可分为形成性评价与总评性</w:t>
      </w:r>
      <w:r>
        <w:rPr>
          <w:rFonts w:hint="eastAsia" w:asciiTheme="minorEastAsia" w:hAnsiTheme="minorEastAsia" w:eastAsiaTheme="minorEastAsia"/>
          <w:color w:val="000000" w:themeColor="text1"/>
          <w:szCs w:val="21"/>
          <w14:textFill>
            <w14:solidFill>
              <w14:schemeClr w14:val="tx1"/>
            </w14:solidFill>
          </w14:textFill>
        </w:rPr>
        <w:t>评价“以点带面”的评价体</w:t>
      </w:r>
      <w:r>
        <w:rPr>
          <w:rFonts w:hint="eastAsia" w:asciiTheme="minorEastAsia" w:hAnsiTheme="minorEastAsia" w:eastAsiaTheme="minorEastAsia"/>
          <w:szCs w:val="21"/>
        </w:rPr>
        <w:t>系。可通过“两步走”方式检测，日常学习中无论是在线还是线下学习，属于自评范围，</w:t>
      </w:r>
      <w:r>
        <w:rPr>
          <w:rFonts w:hint="eastAsia" w:asciiTheme="minorEastAsia" w:hAnsiTheme="minorEastAsia" w:eastAsiaTheme="minorEastAsia"/>
          <w:color w:val="000000" w:themeColor="text1"/>
          <w:szCs w:val="21"/>
          <w14:textFill>
            <w14:solidFill>
              <w14:schemeClr w14:val="tx1"/>
            </w14:solidFill>
          </w14:textFill>
        </w:rPr>
        <w:t>如表4所示；</w:t>
      </w:r>
    </w:p>
    <w:p>
      <w:pPr>
        <w:spacing w:line="400" w:lineRule="exact"/>
        <w:ind w:left="560" w:firstLine="2310" w:firstLineChars="11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表4：日常学习观察点</w:t>
      </w:r>
    </w:p>
    <w:p>
      <w:pPr>
        <w:spacing w:line="400" w:lineRule="exact"/>
        <w:ind w:firstLine="2520" w:firstLineChars="1200"/>
        <w:rPr>
          <w:rFonts w:asciiTheme="minorEastAsia" w:hAnsiTheme="minorEastAsia" w:eastAsiaTheme="minorEastAsia"/>
          <w:szCs w:val="21"/>
        </w:rPr>
      </w:pPr>
      <w:r>
        <w:rPr>
          <w:rFonts w:asciiTheme="minorEastAsia" w:hAnsiTheme="minorEastAsia" w:eastAsiaTheme="minorEastAsia"/>
          <w:szCs w:val="21"/>
        </w:rPr>
        <w:t>学生日常学习观察点（学生用表）</w:t>
      </w:r>
    </w:p>
    <w:tbl>
      <w:tblPr>
        <w:tblStyle w:val="16"/>
        <w:tblW w:w="5284" w:type="dxa"/>
        <w:tblInd w:w="1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86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napToGrid w:val="0"/>
              <w:spacing w:line="400" w:lineRule="exact"/>
              <w:rPr>
                <w:rFonts w:asciiTheme="minorEastAsia" w:hAnsiTheme="minorEastAsia" w:eastAsiaTheme="minorEastAsia"/>
                <w:szCs w:val="21"/>
              </w:rPr>
            </w:pPr>
          </w:p>
        </w:tc>
        <w:tc>
          <w:tcPr>
            <w:tcW w:w="3866" w:type="dxa"/>
          </w:tcPr>
          <w:p>
            <w:pPr>
              <w:snapToGrid w:val="0"/>
              <w:spacing w:line="400" w:lineRule="exact"/>
              <w:jc w:val="center"/>
              <w:rPr>
                <w:rFonts w:asciiTheme="minorEastAsia" w:hAnsiTheme="minorEastAsia" w:eastAsiaTheme="minorEastAsia"/>
                <w:szCs w:val="21"/>
              </w:rPr>
            </w:pPr>
            <w:r>
              <w:rPr>
                <w:rFonts w:asciiTheme="minorEastAsia" w:hAnsiTheme="minorEastAsia" w:eastAsiaTheme="minorEastAsia"/>
                <w:szCs w:val="21"/>
              </w:rPr>
              <w:t>观察内容</w:t>
            </w:r>
          </w:p>
        </w:tc>
        <w:tc>
          <w:tcPr>
            <w:tcW w:w="992"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1.</w:t>
            </w:r>
          </w:p>
        </w:tc>
        <w:tc>
          <w:tcPr>
            <w:tcW w:w="386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课前/课外任务完成情况（</w:t>
            </w:r>
            <w:r>
              <w:rPr>
                <w:rFonts w:hint="eastAsia" w:eastAsiaTheme="minorEastAsia"/>
                <w:szCs w:val="21"/>
              </w:rPr>
              <w:t>A1-A4、B1-B4</w:t>
            </w:r>
            <w:r>
              <w:rPr>
                <w:rFonts w:hint="eastAsia" w:asciiTheme="minorEastAsia" w:hAnsiTheme="minorEastAsia" w:eastAsiaTheme="minorEastAsia"/>
                <w:szCs w:val="21"/>
              </w:rPr>
              <w:t>）</w:t>
            </w:r>
          </w:p>
        </w:tc>
        <w:tc>
          <w:tcPr>
            <w:tcW w:w="992" w:type="dxa"/>
          </w:tcPr>
          <w:p>
            <w:pPr>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2.</w:t>
            </w:r>
          </w:p>
        </w:tc>
        <w:tc>
          <w:tcPr>
            <w:tcW w:w="386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课堂汇报</w:t>
            </w:r>
            <w:r>
              <w:rPr>
                <w:rFonts w:hint="eastAsia" w:asciiTheme="minorEastAsia" w:hAnsiTheme="minorEastAsia" w:eastAsiaTheme="minorEastAsia"/>
                <w:szCs w:val="21"/>
              </w:rPr>
              <w:t>（</w:t>
            </w:r>
            <w:r>
              <w:rPr>
                <w:rFonts w:hint="eastAsia" w:eastAsiaTheme="minorEastAsia"/>
                <w:szCs w:val="21"/>
              </w:rPr>
              <w:t>A1-A4、B1-B4</w:t>
            </w:r>
            <w:r>
              <w:rPr>
                <w:rFonts w:hint="eastAsia" w:asciiTheme="minorEastAsia" w:hAnsiTheme="minorEastAsia" w:eastAsiaTheme="minorEastAsia"/>
                <w:szCs w:val="21"/>
              </w:rPr>
              <w:t>）</w:t>
            </w:r>
          </w:p>
        </w:tc>
        <w:tc>
          <w:tcPr>
            <w:tcW w:w="992" w:type="dxa"/>
          </w:tcPr>
          <w:p>
            <w:pPr>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3.</w:t>
            </w:r>
          </w:p>
        </w:tc>
        <w:tc>
          <w:tcPr>
            <w:tcW w:w="386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小组互动点评</w:t>
            </w:r>
            <w:r>
              <w:rPr>
                <w:rFonts w:hint="eastAsia" w:asciiTheme="minorEastAsia" w:hAnsiTheme="minorEastAsia" w:eastAsiaTheme="minorEastAsia"/>
                <w:szCs w:val="21"/>
              </w:rPr>
              <w:t>（</w:t>
            </w:r>
            <w:r>
              <w:rPr>
                <w:rFonts w:hint="eastAsia" w:eastAsiaTheme="minorEastAsia"/>
                <w:szCs w:val="21"/>
              </w:rPr>
              <w:t>A5、B5</w:t>
            </w:r>
            <w:r>
              <w:rPr>
                <w:rFonts w:hint="eastAsia" w:asciiTheme="minorEastAsia" w:hAnsiTheme="minorEastAsia" w:eastAsiaTheme="minorEastAsia"/>
                <w:szCs w:val="21"/>
              </w:rPr>
              <w:t>）</w:t>
            </w:r>
          </w:p>
        </w:tc>
        <w:tc>
          <w:tcPr>
            <w:tcW w:w="992" w:type="dxa"/>
          </w:tcPr>
          <w:p>
            <w:pPr>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4.</w:t>
            </w:r>
          </w:p>
        </w:tc>
        <w:tc>
          <w:tcPr>
            <w:tcW w:w="386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学生课后拓展学习情况</w:t>
            </w:r>
            <w:r>
              <w:rPr>
                <w:rFonts w:hint="eastAsia" w:asciiTheme="minorEastAsia" w:hAnsiTheme="minorEastAsia" w:eastAsiaTheme="minorEastAsia"/>
                <w:szCs w:val="21"/>
              </w:rPr>
              <w:t>（</w:t>
            </w:r>
            <w:r>
              <w:rPr>
                <w:rFonts w:hint="eastAsia" w:eastAsiaTheme="minorEastAsia"/>
                <w:szCs w:val="21"/>
              </w:rPr>
              <w:t>A6、B6</w:t>
            </w:r>
            <w:r>
              <w:rPr>
                <w:rFonts w:hint="eastAsia" w:asciiTheme="minorEastAsia" w:hAnsiTheme="minorEastAsia" w:eastAsiaTheme="minorEastAsia"/>
                <w:szCs w:val="21"/>
              </w:rPr>
              <w:t>）</w:t>
            </w:r>
          </w:p>
        </w:tc>
        <w:tc>
          <w:tcPr>
            <w:tcW w:w="992" w:type="dxa"/>
          </w:tcPr>
          <w:p>
            <w:pPr>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5.</w:t>
            </w:r>
          </w:p>
        </w:tc>
        <w:tc>
          <w:tcPr>
            <w:tcW w:w="3866" w:type="dxa"/>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课后作业完成情况</w:t>
            </w:r>
            <w:r>
              <w:rPr>
                <w:rFonts w:hint="eastAsia" w:asciiTheme="minorEastAsia" w:hAnsiTheme="minorEastAsia" w:eastAsiaTheme="minorEastAsia"/>
                <w:szCs w:val="21"/>
              </w:rPr>
              <w:t>（</w:t>
            </w:r>
            <w:r>
              <w:rPr>
                <w:rFonts w:hint="eastAsia" w:eastAsiaTheme="minorEastAsia"/>
                <w:szCs w:val="21"/>
              </w:rPr>
              <w:t>A1-A4、B1-B4</w:t>
            </w:r>
            <w:r>
              <w:rPr>
                <w:rFonts w:hint="eastAsia" w:asciiTheme="minorEastAsia" w:hAnsiTheme="minorEastAsia" w:eastAsiaTheme="minorEastAsia"/>
                <w:szCs w:val="21"/>
              </w:rPr>
              <w:t>）</w:t>
            </w:r>
          </w:p>
        </w:tc>
        <w:tc>
          <w:tcPr>
            <w:tcW w:w="992" w:type="dxa"/>
          </w:tcPr>
          <w:p>
            <w:pPr>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4" w:type="dxa"/>
            <w:gridSpan w:val="3"/>
          </w:tcPr>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综合得分</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4" w:type="dxa"/>
            <w:gridSpan w:val="3"/>
          </w:tcPr>
          <w:p>
            <w:pPr>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理由陈述：</w:t>
            </w:r>
          </w:p>
        </w:tc>
      </w:tr>
    </w:tbl>
    <w:p>
      <w:pPr>
        <w:spacing w:line="400" w:lineRule="exact"/>
        <w:ind w:firstLine="420" w:firstLineChars="200"/>
        <w:rPr>
          <w:rFonts w:asciiTheme="minorEastAsia" w:hAnsiTheme="minorEastAsia" w:eastAsiaTheme="minorEastAsia"/>
          <w:szCs w:val="21"/>
        </w:rPr>
      </w:pP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日常学习知识维度主要体现在A事实性知识和B概念性知识上。到了高年级，学生不仅要掌握相关知识，还要有理解、应用、分析的能力。高级别的知识维度，程序性知识和超认知知识，则由形成性评价中的实验部分进行评估。在学生评价体系中，评价分类表A1位置评价放置在每个单元结束后的小测试，作为诊断性测试（</w:t>
      </w:r>
      <w:r>
        <w:rPr>
          <w:rFonts w:hint="eastAsia" w:eastAsiaTheme="minorEastAsia"/>
          <w:szCs w:val="21"/>
        </w:rPr>
        <w:t>diagnostic test</w:t>
      </w:r>
      <w:r>
        <w:rPr>
          <w:rFonts w:hint="eastAsia" w:asciiTheme="minorEastAsia" w:hAnsiTheme="minorEastAsia" w:eastAsiaTheme="minorEastAsia"/>
          <w:color w:val="000000" w:themeColor="text1"/>
          <w:szCs w:val="21"/>
          <w14:textFill>
            <w14:solidFill>
              <w14:schemeClr w14:val="tx1"/>
            </w14:solidFill>
          </w14:textFill>
        </w:rPr>
        <w:t>）让学生查缺补漏，主要以语言知识点为重心，如相关语言表达测试，好词好句仿写等等；学期末</w:t>
      </w:r>
      <w:r>
        <w:rPr>
          <w:rFonts w:hint="eastAsia" w:asciiTheme="minorEastAsia" w:hAnsiTheme="minorEastAsia" w:eastAsiaTheme="minorEastAsia"/>
          <w:szCs w:val="21"/>
        </w:rPr>
        <w:t>总评性成绩测试（</w:t>
      </w:r>
      <w:r>
        <w:rPr>
          <w:rFonts w:hint="eastAsia" w:eastAsiaTheme="minorEastAsia"/>
          <w:szCs w:val="21"/>
        </w:rPr>
        <w:t>achievement test</w:t>
      </w:r>
      <w:r>
        <w:rPr>
          <w:rFonts w:hint="eastAsia" w:asciiTheme="minorEastAsia" w:hAnsiTheme="minorEastAsia" w:eastAsiaTheme="minorEastAsia"/>
          <w:szCs w:val="21"/>
        </w:rPr>
        <w:t>）可采用文章词句选词填空，句子释义，翻译等方式评估学生是否通过学习，达到了事实性知识的记忆。B2位置放置学生逻辑思维训练，如文章结构分析，或者让学生自己绘制逻辑流程图。鼓励学生使用数学逻辑符号展示，并且能根据自己制作的流程图，复述文章内容。这样的检测方式既能查缺补漏，又能达到知识点重复，帮助学生掌握知识。</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对于超认知知识评价，适合在</w:t>
      </w:r>
      <w:r>
        <w:rPr>
          <w:rFonts w:hint="eastAsia" w:eastAsiaTheme="minorEastAsia"/>
          <w:szCs w:val="21"/>
        </w:rPr>
        <w:t>C</w:t>
      </w:r>
      <w:r>
        <w:rPr>
          <w:rFonts w:eastAsiaTheme="minorEastAsia"/>
          <w:szCs w:val="21"/>
        </w:rPr>
        <w:t>3</w:t>
      </w:r>
      <w:r>
        <w:rPr>
          <w:rFonts w:hint="eastAsia" w:eastAsiaTheme="minorEastAsia"/>
          <w:szCs w:val="21"/>
        </w:rPr>
        <w:t>-</w:t>
      </w:r>
      <w:r>
        <w:rPr>
          <w:rFonts w:eastAsiaTheme="minorEastAsia"/>
          <w:szCs w:val="21"/>
        </w:rPr>
        <w:t>C</w:t>
      </w:r>
      <w:r>
        <w:rPr>
          <w:rFonts w:hint="eastAsia" w:eastAsiaTheme="minorEastAsia"/>
          <w:szCs w:val="21"/>
        </w:rPr>
        <w:t>6</w:t>
      </w:r>
      <w:r>
        <w:rPr>
          <w:rFonts w:hint="eastAsia" w:asciiTheme="minorEastAsia" w:hAnsiTheme="minorEastAsia" w:eastAsiaTheme="minorEastAsia"/>
          <w:color w:val="000000" w:themeColor="text1"/>
          <w:szCs w:val="21"/>
          <w14:textFill>
            <w14:solidFill>
              <w14:schemeClr w14:val="tx1"/>
            </w14:solidFill>
          </w14:textFill>
        </w:rPr>
        <w:t>和</w:t>
      </w:r>
      <w:r>
        <w:rPr>
          <w:rFonts w:hint="eastAsia" w:eastAsiaTheme="minorEastAsia"/>
          <w:szCs w:val="21"/>
        </w:rPr>
        <w:t>D3-D6</w:t>
      </w:r>
      <w:r>
        <w:rPr>
          <w:rFonts w:hint="eastAsia" w:asciiTheme="minorEastAsia" w:hAnsiTheme="minorEastAsia" w:eastAsiaTheme="minorEastAsia"/>
          <w:color w:val="000000" w:themeColor="text1"/>
          <w:szCs w:val="21"/>
          <w14:textFill>
            <w14:solidFill>
              <w14:schemeClr w14:val="tx1"/>
            </w14:solidFill>
          </w14:textFill>
        </w:rPr>
        <w:t>位置放置测试手段，采用课程小论文的方式检测，使之成为综合评价学生分析、评价甚至是创造能力的方法。从选题开始，学生需要将知识要素整合成为一个协调的或功能性的整体，比如建立假设，根据各种研究方法，综合学术写作技能，完成一篇小论文，即可检测教学内容，又为即将到来的毕业论文打下基础。</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除论文外，根据不同的教学单元，课题组安排不同的教学实践考核方式。譬如在国际关系单元进行国际组织或国际会议模拟；在社会单元安排英语辩论；在商业单元安排外企面试模拟等等。建立科学的学生评价体系，首先需要解决的是评价主体的问题</w:t>
      </w:r>
      <w:r>
        <w:rPr>
          <w:rFonts w:hint="eastAsia" w:asciiTheme="minorEastAsia" w:hAnsiTheme="minorEastAsia" w:eastAsiaTheme="minorEastAsia"/>
          <w:color w:val="000000" w:themeColor="text1"/>
          <w:szCs w:val="21"/>
          <w:vertAlign w:val="superscript"/>
          <w14:textFill>
            <w14:solidFill>
              <w14:schemeClr w14:val="tx1"/>
            </w14:solidFill>
          </w14:textFill>
        </w:rPr>
        <w:t>[11]</w:t>
      </w:r>
      <w:r>
        <w:rPr>
          <w:rFonts w:hint="eastAsia" w:asciiTheme="minorEastAsia" w:hAnsiTheme="minorEastAsia" w:eastAsiaTheme="minorEastAsia"/>
          <w:color w:val="000000" w:themeColor="text1"/>
          <w:szCs w:val="21"/>
          <w14:textFill>
            <w14:solidFill>
              <w14:schemeClr w14:val="tx1"/>
            </w14:solidFill>
          </w14:textFill>
        </w:rPr>
        <w:t>。高级英语实践考核评价主体不再是单一的教师评价，分为三个维度：专家组评分、学生自评、同辈评审。专家组由课题组老师构成，一般不少于两人，避免出现单一教师主观情感给分不准的情况。学生自评有明细表，分为“活动前准备”、“活动中参与”和“活动后反思”细则，并给出自评分数及理由。同辈评审由活动参与者不记名投票选出活动参与者人数1/5的优秀参与者，给出额外加分。</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结合上面具体例子，在教育目标分类法指导下，《高级英语》课程教学应注意学生知识层面和认识过程层面的结合，知识层面上教学内容循序渐进，逐层深入。学生虽然已进入高年级学习，但事实性、概念性知识的学习仍不可或缺。在《大纲》中，“扎实的基本功”既涉及外语的语言知识，如语音、语调、词法。句法等，还有“外语技能”，即外语实际运用能力。其次，要“以学生为中心”，培养学生自主学习能力。</w:t>
      </w:r>
      <w:r>
        <w:rPr>
          <w:rFonts w:asciiTheme="minorEastAsia" w:hAnsiTheme="minorEastAsia" w:eastAsiaTheme="minorEastAsia"/>
          <w:color w:val="000000" w:themeColor="text1"/>
          <w:szCs w:val="21"/>
          <w14:textFill>
            <w14:solidFill>
              <w14:schemeClr w14:val="tx1"/>
            </w14:solidFill>
          </w14:textFill>
        </w:rPr>
        <w:t>提倡讨论式教学</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教师有意识地提出开放性问题 ,启发学生从不同的途径探讨。在提问时</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教师不能只提自己知道答案的问题</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也要提自己不知道答案的问题</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还要提没有标准答案的问题</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鼓励学生发表自己的意见</w:t>
      </w:r>
      <w:r>
        <w:rPr>
          <w:rFonts w:hint="eastAsia" w:asciiTheme="minorEastAsia" w:hAnsiTheme="minorEastAsia" w:eastAsiaTheme="minorEastAsia"/>
          <w:color w:val="000000" w:themeColor="text1"/>
          <w:szCs w:val="21"/>
          <w:vertAlign w:val="superscript"/>
          <w14:textFill>
            <w14:solidFill>
              <w14:schemeClr w14:val="tx1"/>
            </w14:solidFill>
          </w14:textFill>
        </w:rPr>
        <w:t>[12]</w:t>
      </w:r>
      <w:r>
        <w:rPr>
          <w:rFonts w:hint="eastAsia" w:asciiTheme="minorEastAsia" w:hAnsiTheme="minorEastAsia" w:eastAsiaTheme="minorEastAsia"/>
          <w:color w:val="000000" w:themeColor="text1"/>
          <w:szCs w:val="21"/>
          <w14:textFill>
            <w14:solidFill>
              <w14:schemeClr w14:val="tx1"/>
            </w14:solidFill>
          </w14:textFill>
        </w:rPr>
        <w:t>。语言教师不再被看做单一的语言传达者，而是帮助学习者发展内在能力</w:t>
      </w:r>
      <w:r>
        <w:rPr>
          <w:rFonts w:hint="eastAsia" w:asciiTheme="minorEastAsia" w:hAnsiTheme="minorEastAsia" w:eastAsiaTheme="minorEastAsia"/>
          <w:color w:val="000000" w:themeColor="text1"/>
          <w:szCs w:val="21"/>
          <w:vertAlign w:val="superscript"/>
          <w14:textFill>
            <w14:solidFill>
              <w14:schemeClr w14:val="tx1"/>
            </w14:solidFill>
          </w14:textFill>
        </w:rPr>
        <w:t>[13]</w:t>
      </w:r>
      <w:r>
        <w:rPr>
          <w:rFonts w:hint="eastAsia" w:asciiTheme="minorEastAsia" w:hAnsiTheme="minorEastAsia" w:eastAsiaTheme="minorEastAsia"/>
          <w:color w:val="000000" w:themeColor="text1"/>
          <w:szCs w:val="21"/>
          <w14:textFill>
            <w14:solidFill>
              <w14:schemeClr w14:val="tx1"/>
            </w14:solidFill>
          </w14:textFill>
        </w:rPr>
        <w:t>，同</w:t>
      </w:r>
      <w:r>
        <w:rPr>
          <w:rFonts w:hint="eastAsia" w:asciiTheme="minorEastAsia" w:hAnsiTheme="minorEastAsia" w:eastAsiaTheme="minorEastAsia"/>
          <w:szCs w:val="21"/>
        </w:rPr>
        <w:t>时培养学生以创</w:t>
      </w:r>
      <w:r>
        <w:rPr>
          <w:rFonts w:asciiTheme="minorEastAsia" w:hAnsiTheme="minorEastAsia" w:eastAsiaTheme="minorEastAsia"/>
          <w:szCs w:val="21"/>
        </w:rPr>
        <w:t>新能力为动力，发展多角度思维和自我学习、追求发展的能力</w:t>
      </w:r>
      <w:r>
        <w:rPr>
          <w:rFonts w:hint="eastAsia" w:asciiTheme="minorEastAsia" w:hAnsiTheme="minorEastAsia" w:eastAsiaTheme="minorEastAsia"/>
          <w:szCs w:val="21"/>
          <w:vertAlign w:val="superscript"/>
        </w:rPr>
        <w:t>[14]</w:t>
      </w:r>
      <w:r>
        <w:rPr>
          <w:rFonts w:hint="eastAsia" w:asciiTheme="minorEastAsia" w:hAnsiTheme="minorEastAsia" w:eastAsiaTheme="minorEastAsia"/>
          <w:szCs w:val="21"/>
        </w:rPr>
        <w:t>。　　</w:t>
      </w:r>
    </w:p>
    <w:p>
      <w:pPr>
        <w:spacing w:line="4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五、教育目标分类法指导下评价体系效果分析</w:t>
      </w:r>
    </w:p>
    <w:p>
      <w:pPr>
        <w:spacing w:line="400" w:lineRule="exact"/>
        <w:rPr>
          <w:rFonts w:asciiTheme="minorEastAsia" w:hAnsiTheme="minorEastAsia" w:eastAsiaTheme="minorEastAsia"/>
          <w:b/>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 xml:space="preserve"> （一）研究对象和方法</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为验证在此评价体系下《高级英语》课程的效果，课题组以调查问卷和访谈分析法，经过资料收集及统计，得到了四川外国语大学国际关系学院2014级和2015级4个班同学的信息。调研分为两部分，第一部分为问卷调查部分，一共有115名学生参加，有效问卷为97份，有效回收率为78.3%。第二部分为访谈，访谈人数为24人。</w:t>
      </w: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 数据分析</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问卷调查采取结构式和非结构式问卷结合的方式</w:t>
      </w:r>
      <w:r>
        <w:rPr>
          <w:rFonts w:hint="eastAsia" w:asciiTheme="minorEastAsia" w:hAnsiTheme="minorEastAsia" w:eastAsiaTheme="minorEastAsia"/>
          <w:szCs w:val="21"/>
        </w:rPr>
        <w:t>，问题包括自我评价：你认为高级英语课程学习过程中什么样的能力最重要？教学评价：你认为高级英语课堂教学是否重点突出、有条理、知识点清晰？教学实践安排是否合理；对于课堂形式的态度；评价体系评价：形成性评价体系设置是否合理；高困难高分值评价比例是否能促进你的学习。</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自我评价中，“你认为在高级英语学习中什么能力最为重要？”的问题，根据统计，得到表5的数据：</w:t>
      </w:r>
    </w:p>
    <w:p>
      <w:pPr>
        <w:spacing w:line="400" w:lineRule="exact"/>
        <w:ind w:firstLine="2520" w:firstLineChars="1200"/>
        <w:rPr>
          <w:rFonts w:asciiTheme="minorEastAsia" w:hAnsiTheme="minorEastAsia" w:eastAsiaTheme="minorEastAsia"/>
          <w:szCs w:val="21"/>
        </w:rPr>
      </w:pPr>
      <w:r>
        <w:rPr>
          <w:rFonts w:asciiTheme="minorEastAsia" w:hAnsiTheme="minorEastAsia" w:eastAsiaTheme="minorEastAsia"/>
          <w:szCs w:val="21"/>
        </w:rPr>
        <w:drawing>
          <wp:anchor distT="0" distB="0" distL="114300" distR="114300" simplePos="0" relativeHeight="251660288" behindDoc="0" locked="0" layoutInCell="1" allowOverlap="1">
            <wp:simplePos x="0" y="0"/>
            <wp:positionH relativeFrom="column">
              <wp:posOffset>-47625</wp:posOffset>
            </wp:positionH>
            <wp:positionV relativeFrom="paragraph">
              <wp:posOffset>422910</wp:posOffset>
            </wp:positionV>
            <wp:extent cx="5274310" cy="3076575"/>
            <wp:effectExtent l="0" t="0" r="254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heme="minorEastAsia" w:hAnsiTheme="minorEastAsia" w:eastAsiaTheme="minorEastAsia"/>
          <w:szCs w:val="21"/>
        </w:rPr>
        <w:t>表5：高级英语学习过程中能力</w:t>
      </w:r>
    </w:p>
    <w:p>
      <w:pPr>
        <w:spacing w:line="400" w:lineRule="exact"/>
        <w:ind w:firstLine="420" w:firstLineChars="200"/>
        <w:rPr>
          <w:rFonts w:asciiTheme="minorEastAsia" w:hAnsiTheme="minorEastAsia" w:eastAsiaTheme="minorEastAsia"/>
          <w:szCs w:val="21"/>
        </w:rPr>
      </w:pP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从上表可见，在教育目标分类法指导下构建的评价体系和教学目标中强调的低维度、高纬度的能力均被学生意识到。</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在教学评价中，有63名同学（64.9%）表示课堂教学逻辑清楚，重点明确；对于教学实践，有59名同学（61%）表示 “比较困难”，但有19名同学（19.6%）表示“收获很大”，有35名同学（36.1%）表示“收获较大”，有21名同学（21.6%）表示“收获不大”。有56名同学（57.7%）表示在课堂学习中比较倾向听老师讲解，而非学生报告；对于评价体系中实验成绩占到总成绩25%，有32名同学（33%）表示比例较高。</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从以上数据可以看出，在高级英语学习中，专业知识背景成为学生学习能力的重点，其次</w:t>
      </w:r>
      <w:r>
        <w:rPr>
          <w:rFonts w:hint="eastAsia" w:asciiTheme="minorEastAsia" w:hAnsiTheme="minorEastAsia" w:eastAsiaTheme="minorEastAsia"/>
          <w:color w:val="000000" w:themeColor="text1"/>
          <w:szCs w:val="21"/>
          <w14:textFill>
            <w14:solidFill>
              <w14:schemeClr w14:val="tx1"/>
            </w14:solidFill>
          </w14:textFill>
        </w:rPr>
        <w:t>是自</w:t>
      </w:r>
      <w:r>
        <w:rPr>
          <w:rFonts w:hint="eastAsia" w:asciiTheme="minorEastAsia" w:hAnsiTheme="minorEastAsia" w:eastAsiaTheme="minorEastAsia"/>
          <w:szCs w:val="21"/>
        </w:rPr>
        <w:t>主学习能力</w:t>
      </w:r>
      <w:r>
        <w:rPr>
          <w:rFonts w:hint="eastAsia" w:asciiTheme="minorEastAsia" w:hAnsiTheme="minorEastAsia" w:eastAsiaTheme="minorEastAsia"/>
          <w:color w:val="000000" w:themeColor="text1"/>
          <w:szCs w:val="21"/>
          <w14:textFill>
            <w14:solidFill>
              <w14:schemeClr w14:val="tx1"/>
            </w14:solidFill>
          </w14:textFill>
        </w:rPr>
        <w:t>；这与高年级学习着重培养学生除语言能力外的“认知技能”和“情感目标”相吻合。高级英语实验教学模式总体使学生受益；但过去“保姆式”的教学模式</w:t>
      </w:r>
      <w:r>
        <w:rPr>
          <w:rFonts w:hint="eastAsia" w:asciiTheme="minorEastAsia" w:hAnsiTheme="minorEastAsia" w:eastAsiaTheme="minorEastAsia"/>
          <w:szCs w:val="21"/>
        </w:rPr>
        <w:t>给学生带了负面的影响，学生过于依赖教师讲解，缺乏同辈学习意识，这正需要评价体系中“同辈评审”作为评价主体之一对学生学习产生反拨。</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针对第一阶段的问卷调查，笔者在四个班中抽取了24名同学进行访谈，访谈时长从25分钟到80分钟不等。一名男生对于课程能力这样说到：</w:t>
      </w:r>
    </w:p>
    <w:p>
      <w:pPr>
        <w:spacing w:line="400" w:lineRule="exact"/>
        <w:ind w:firstLine="420" w:firstLineChars="200"/>
        <w:rPr>
          <w:rFonts w:asciiTheme="minorEastAsia" w:hAnsiTheme="minorEastAsia" w:eastAsiaTheme="minorEastAsia"/>
          <w:szCs w:val="21"/>
        </w:rPr>
      </w:pPr>
    </w:p>
    <w:p>
      <w:pPr>
        <w:spacing w:line="400" w:lineRule="exact"/>
        <w:ind w:left="422" w:leftChars="201" w:right="508" w:rightChars="242" w:firstLine="365" w:firstLineChars="203"/>
        <w:rPr>
          <w:rFonts w:asciiTheme="minorEastAsia" w:hAnsiTheme="minorEastAsia" w:eastAsiaTheme="minorEastAsia"/>
          <w:sz w:val="18"/>
          <w:szCs w:val="18"/>
        </w:rPr>
      </w:pPr>
      <w:r>
        <w:rPr>
          <w:rFonts w:hint="eastAsia" w:asciiTheme="minorEastAsia" w:hAnsiTheme="minorEastAsia" w:eastAsiaTheme="minorEastAsia"/>
          <w:sz w:val="18"/>
          <w:szCs w:val="18"/>
        </w:rPr>
        <w:t>我在学《高级英语》之前以为就是单词、句式很难，但是我发现在把不认识的单词查了，句式也看懂了，我还是不明白意思。比如教育那个单元，第六段并没有什么生词，但是我看完完全懵了，什么“法兰克福学派”，什么“超人”、“末人”完全不懂。我又去百度，看完了还是搞不明白。</w:t>
      </w:r>
    </w:p>
    <w:p>
      <w:pPr>
        <w:spacing w:line="400" w:lineRule="exact"/>
        <w:ind w:firstLine="420" w:firstLineChars="200"/>
        <w:rPr>
          <w:rFonts w:asciiTheme="minorEastAsia" w:hAnsiTheme="minorEastAsia" w:eastAsiaTheme="minorEastAsia"/>
          <w:szCs w:val="21"/>
        </w:rPr>
      </w:pP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这段访谈体现出学生在高年级学习过程中，相关专业知识能力对文章理解带来的障碍，同时反映了一个大问题：学生在遇到问题时，第一反应是商业化搜索引擎，认知过程仍然停留在较低的阶段，对于知识的分析、评价能力较差。在分类表中D6位置的评价方式学术论文，一定程度上让学生意识到这个问题。一名女生在谈到形成性评价中论文写作时表明：</w:t>
      </w:r>
    </w:p>
    <w:p>
      <w:pPr>
        <w:spacing w:line="400" w:lineRule="exact"/>
        <w:ind w:firstLine="420" w:firstLineChars="200"/>
        <w:rPr>
          <w:rFonts w:asciiTheme="minorEastAsia" w:hAnsiTheme="minorEastAsia" w:eastAsiaTheme="minorEastAsia"/>
          <w:szCs w:val="21"/>
        </w:rPr>
      </w:pPr>
    </w:p>
    <w:p>
      <w:pPr>
        <w:tabs>
          <w:tab w:val="left" w:pos="7797"/>
        </w:tabs>
        <w:spacing w:line="400" w:lineRule="exact"/>
        <w:ind w:left="424" w:leftChars="202" w:right="508" w:rightChars="242"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论文写作666（很厉害）。我们英语专业的学生一直以语言学习为中心，对于研究方法一概不知，这和西方高等教育差太多了。老师在进行学术论文写作前给我们简单介绍了方法论，还介绍了相关的书籍。我当时选题太大，如果没有论文写作，我可能对学术研究还一无所知吧，而且老师讲方法论的时候我肯定也不会认真听。我的写作逻辑还有学术写作格式等等，都得到了提高。</w:t>
      </w:r>
    </w:p>
    <w:p>
      <w:pPr>
        <w:spacing w:line="400" w:lineRule="exact"/>
        <w:ind w:firstLine="360" w:firstLineChars="200"/>
        <w:rPr>
          <w:rFonts w:asciiTheme="minorEastAsia" w:hAnsiTheme="minorEastAsia" w:eastAsiaTheme="minorEastAsia"/>
          <w:sz w:val="18"/>
          <w:szCs w:val="18"/>
        </w:rPr>
      </w:pP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也有学生谈到虽然论文写作或国际会议模拟太难，但是自己受益颇多。如一位女生谈到：</w:t>
      </w:r>
    </w:p>
    <w:p>
      <w:pPr>
        <w:spacing w:line="400" w:lineRule="exact"/>
        <w:ind w:firstLine="420" w:firstLineChars="200"/>
        <w:rPr>
          <w:rFonts w:asciiTheme="minorEastAsia" w:hAnsiTheme="minorEastAsia" w:eastAsiaTheme="minorEastAsia"/>
          <w:szCs w:val="21"/>
        </w:rPr>
      </w:pPr>
    </w:p>
    <w:p>
      <w:pPr>
        <w:spacing w:line="400" w:lineRule="exact"/>
        <w:ind w:left="424" w:leftChars="202" w:right="508" w:rightChars="242"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国际会议模拟真的超级难，我在准备的时候都快精分了（非常纠结）。工作语言是英语，探讨国际问题。一方面我真的很想放弃，就去打个酱油（凑个数）算了；另一方面我知道我应该好好准备。老师要求我们全部正装出席，我们在学校的模拟联合国安理会实验室开会，很专业，模拟一上午，很累，但是收获好多，我很感谢之前没有放弃的自己。 </w:t>
      </w:r>
    </w:p>
    <w:p>
      <w:pPr>
        <w:spacing w:line="400" w:lineRule="exact"/>
        <w:ind w:firstLine="420" w:firstLineChars="200"/>
        <w:rPr>
          <w:rFonts w:asciiTheme="minorEastAsia" w:hAnsiTheme="minorEastAsia" w:eastAsiaTheme="minorEastAsia"/>
          <w:szCs w:val="21"/>
        </w:rPr>
      </w:pP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把困难的实验设计到形成性评价体系中，以评价压力监督教师教学，以评价结果促使学生学习，同时以学生表现完善下一轮的教学。英语专业低年级教学注重语言基本技能，到了高年级，学生的知识、技能、认知层次都需要提高，《高级英语》课程学生评价体系的制定，教学活动的展开，都应围绕这一目标，激发学生综合能力，培养复合型外语人才。</w:t>
      </w:r>
    </w:p>
    <w:p>
      <w:pPr>
        <w:spacing w:line="400" w:lineRule="exact"/>
        <w:rPr>
          <w:rFonts w:asciiTheme="minorEastAsia" w:hAnsiTheme="minorEastAsia" w:eastAsiaTheme="minorEastAsia"/>
          <w:b/>
          <w:sz w:val="24"/>
        </w:rPr>
      </w:pPr>
      <w:r>
        <w:rPr>
          <w:rFonts w:hint="eastAsia" w:asciiTheme="minorEastAsia" w:hAnsiTheme="minorEastAsia" w:eastAsiaTheme="minorEastAsia"/>
          <w:szCs w:val="21"/>
        </w:rPr>
        <w:t xml:space="preserve">   </w:t>
      </w:r>
      <w:r>
        <w:rPr>
          <w:rFonts w:hint="eastAsia" w:asciiTheme="minorEastAsia" w:hAnsiTheme="minorEastAsia" w:eastAsiaTheme="minorEastAsia"/>
          <w:b/>
          <w:sz w:val="24"/>
        </w:rPr>
        <w:t>结语</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复合型外语人才教育目标的实现有赖于系统合理的课程设置、每门课教学大纲设计、教师具体教学目标设计、教学策略和方法选择、教学评价设计和学习环境创设等因素</w:t>
      </w:r>
      <w:r>
        <w:rPr>
          <w:rFonts w:hint="eastAsia" w:asciiTheme="minorEastAsia" w:hAnsiTheme="minorEastAsia" w:eastAsiaTheme="minorEastAsia"/>
          <w:szCs w:val="21"/>
          <w:vertAlign w:val="superscript"/>
        </w:rPr>
        <w:t>[15]</w:t>
      </w:r>
      <w:r>
        <w:rPr>
          <w:rFonts w:hint="eastAsia" w:asciiTheme="minorEastAsia" w:hAnsiTheme="minorEastAsia" w:eastAsiaTheme="minorEastAsia"/>
          <w:szCs w:val="21"/>
        </w:rPr>
        <w:t>。</w:t>
      </w:r>
      <w:r>
        <w:rPr>
          <w:rFonts w:asciiTheme="minorEastAsia" w:hAnsiTheme="minorEastAsia" w:eastAsiaTheme="minorEastAsia"/>
          <w:szCs w:val="21"/>
        </w:rPr>
        <w:t>教育目标分类法对英语专业高级英语课程学生评价体系制定具有指导意义</w:t>
      </w:r>
      <w:r>
        <w:rPr>
          <w:rFonts w:hint="eastAsia" w:asciiTheme="minorEastAsia" w:hAnsiTheme="minorEastAsia" w:eastAsiaTheme="minorEastAsia"/>
          <w:szCs w:val="21"/>
        </w:rPr>
        <w:t>，</w:t>
      </w:r>
      <w:r>
        <w:rPr>
          <w:rFonts w:asciiTheme="minorEastAsia" w:hAnsiTheme="minorEastAsia" w:eastAsiaTheme="minorEastAsia"/>
          <w:szCs w:val="21"/>
        </w:rPr>
        <w:t>评价体系既能反映教学目标的完成</w:t>
      </w:r>
      <w:r>
        <w:rPr>
          <w:rFonts w:hint="eastAsia" w:asciiTheme="minorEastAsia" w:hAnsiTheme="minorEastAsia" w:eastAsiaTheme="minorEastAsia"/>
          <w:szCs w:val="21"/>
        </w:rPr>
        <w:t>，</w:t>
      </w:r>
      <w:r>
        <w:rPr>
          <w:rFonts w:asciiTheme="minorEastAsia" w:hAnsiTheme="minorEastAsia" w:eastAsiaTheme="minorEastAsia"/>
          <w:szCs w:val="21"/>
        </w:rPr>
        <w:t>又能反拨课堂教学</w:t>
      </w:r>
      <w:r>
        <w:rPr>
          <w:rFonts w:hint="eastAsia" w:asciiTheme="minorEastAsia" w:hAnsiTheme="minorEastAsia" w:eastAsiaTheme="minorEastAsia"/>
          <w:szCs w:val="21"/>
        </w:rPr>
        <w:t>，教师针对自己的授课人群已有的知识和认知能力，将教学层次与低年级拉开，有利于课程的合理定位，还能合理有序的安排教学内容，使用适当的教学手段，展开相应的教学活动，达到以评促教的效果。</w:t>
      </w:r>
    </w:p>
    <w:p>
      <w:pPr>
        <w:ind w:firstLine="560" w:firstLineChars="200"/>
        <w:rPr>
          <w:rFonts w:ascii="宋体" w:hAnsi="宋体"/>
          <w:sz w:val="28"/>
          <w:szCs w:val="28"/>
        </w:rPr>
      </w:pPr>
    </w:p>
    <w:p>
      <w:pPr>
        <w:ind w:firstLine="560" w:firstLineChars="200"/>
        <w:rPr>
          <w:rFonts w:ascii="宋体" w:hAnsi="宋体"/>
          <w:sz w:val="28"/>
          <w:szCs w:val="28"/>
        </w:rPr>
      </w:pPr>
    </w:p>
    <w:p>
      <w:pPr>
        <w:pStyle w:val="9"/>
        <w:spacing w:line="400" w:lineRule="exact"/>
        <w:rPr>
          <w:rFonts w:ascii="宋体" w:hAnsi="宋体" w:cs="Arial"/>
          <w:b/>
          <w:bCs/>
          <w:color w:val="000000"/>
          <w:kern w:val="0"/>
          <w:sz w:val="21"/>
          <w:szCs w:val="21"/>
        </w:rPr>
      </w:pPr>
      <w:r>
        <w:rPr>
          <w:rFonts w:hint="eastAsia" w:ascii="宋体" w:hAnsi="宋体" w:cs="Arial"/>
          <w:b/>
          <w:bCs/>
          <w:color w:val="000000"/>
          <w:kern w:val="0"/>
          <w:sz w:val="21"/>
          <w:szCs w:val="21"/>
        </w:rPr>
        <w:t>注释：</w:t>
      </w:r>
    </w:p>
    <w:p>
      <w:pPr>
        <w:pStyle w:val="9"/>
        <w:spacing w:line="400" w:lineRule="exact"/>
        <w:ind w:firstLine="420" w:firstLineChars="200"/>
        <w:rPr>
          <w:sz w:val="21"/>
          <w:szCs w:val="21"/>
        </w:rPr>
      </w:pPr>
      <w:r>
        <w:rPr>
          <w:rFonts w:ascii="宋体" w:hAnsi="宋体"/>
          <w:kern w:val="0"/>
          <w:sz w:val="21"/>
          <w:szCs w:val="21"/>
        </w:rPr>
        <w:t>①</w:t>
      </w:r>
      <w:r>
        <w:rPr>
          <w:rFonts w:hint="eastAsia"/>
          <w:sz w:val="21"/>
          <w:szCs w:val="21"/>
        </w:rPr>
        <w:t>学校排名不分先后，学校选择考虑综合性大学和非综合性大学，北部、南部、东北、西部和中部高校均有涉及。各高校该课程学生评价体系现状截止2018年3月。</w:t>
      </w:r>
    </w:p>
    <w:p>
      <w:pPr>
        <w:spacing w:line="400" w:lineRule="exact"/>
        <w:rPr>
          <w:b/>
          <w:szCs w:val="21"/>
        </w:rPr>
      </w:pPr>
      <w:r>
        <w:rPr>
          <w:b/>
          <w:szCs w:val="21"/>
        </w:rPr>
        <w:t>参考文献</w:t>
      </w:r>
      <w:r>
        <w:rPr>
          <w:rFonts w:hint="eastAsia"/>
          <w:b/>
          <w:szCs w:val="21"/>
        </w:rPr>
        <w:t>：</w:t>
      </w:r>
    </w:p>
    <w:p>
      <w:pPr>
        <w:spacing w:line="400" w:lineRule="exact"/>
        <w:ind w:left="315" w:hanging="315" w:hangingChars="150"/>
        <w:rPr>
          <w:rFonts w:ascii="宋体" w:hAnsi="宋体"/>
          <w:szCs w:val="21"/>
        </w:rPr>
      </w:pPr>
      <w:r>
        <w:rPr>
          <w:rFonts w:hint="eastAsia" w:ascii="宋体" w:hAnsi="宋体"/>
          <w:szCs w:val="21"/>
        </w:rPr>
        <w:t>[1]黄莺，彭丽辉，杨心德.知识分类在教学设计中的作用-论对布鲁姆教育</w:t>
      </w:r>
      <w:r>
        <w:rPr>
          <w:rFonts w:hint="eastAsia"/>
          <w:szCs w:val="21"/>
        </w:rPr>
        <w:t>目标</w:t>
      </w:r>
      <w:r>
        <w:rPr>
          <w:rFonts w:hint="eastAsia" w:ascii="宋体" w:hAnsi="宋体"/>
          <w:szCs w:val="21"/>
        </w:rPr>
        <w:t>分类学的修订[J].教育评论，</w:t>
      </w:r>
      <w:r>
        <w:rPr>
          <w:rFonts w:hint="eastAsia"/>
          <w:szCs w:val="21"/>
        </w:rPr>
        <w:t>2008</w:t>
      </w:r>
      <w:r>
        <w:rPr>
          <w:rFonts w:hint="eastAsia"/>
          <w:szCs w:val="21"/>
          <w:lang w:eastAsia="zh-CN"/>
        </w:rPr>
        <w:t>，</w:t>
      </w:r>
      <w:r>
        <w:rPr>
          <w:rFonts w:hint="eastAsia"/>
          <w:szCs w:val="21"/>
        </w:rPr>
        <w:t>(5):165-168.</w:t>
      </w:r>
    </w:p>
    <w:p>
      <w:pPr>
        <w:spacing w:line="400" w:lineRule="exact"/>
        <w:ind w:left="315" w:hanging="315" w:hangingChars="150"/>
        <w:rPr>
          <w:rFonts w:eastAsiaTheme="minorEastAsia"/>
          <w:szCs w:val="21"/>
        </w:rPr>
      </w:pPr>
      <w:r>
        <w:rPr>
          <w:rFonts w:hint="eastAsia" w:ascii="宋体" w:hAnsi="宋体"/>
          <w:szCs w:val="21"/>
        </w:rPr>
        <w:t>[2]</w:t>
      </w:r>
      <w:r>
        <w:rPr>
          <w:rFonts w:hint="eastAsia" w:asciiTheme="minorEastAsia" w:hAnsiTheme="minorEastAsia" w:eastAsiaTheme="minorEastAsia"/>
          <w:szCs w:val="21"/>
        </w:rPr>
        <w:t>张永胜.学生评价改革的困境与反思[J</w:t>
      </w:r>
      <w:r>
        <w:rPr>
          <w:rFonts w:asciiTheme="minorEastAsia" w:hAnsiTheme="minorEastAsia" w:eastAsiaTheme="minorEastAsia"/>
          <w:szCs w:val="21"/>
        </w:rPr>
        <w:t>]</w:t>
      </w:r>
      <w:r>
        <w:rPr>
          <w:rFonts w:hint="eastAsia" w:asciiTheme="minorEastAsia" w:hAnsiTheme="minorEastAsia" w:eastAsiaTheme="minorEastAsia"/>
          <w:szCs w:val="21"/>
        </w:rPr>
        <w:t>.西北师范大学学报:社会科学版,</w:t>
      </w:r>
      <w:r>
        <w:rPr>
          <w:rFonts w:eastAsiaTheme="minorEastAsia"/>
          <w:szCs w:val="21"/>
        </w:rPr>
        <w:t>2010</w:t>
      </w:r>
      <w:r>
        <w:rPr>
          <w:rFonts w:hint="eastAsia" w:eastAsiaTheme="minorEastAsia"/>
          <w:szCs w:val="21"/>
          <w:lang w:eastAsia="zh-CN"/>
        </w:rPr>
        <w:t>，</w:t>
      </w:r>
      <w:r>
        <w:rPr>
          <w:rFonts w:eastAsiaTheme="minorEastAsia"/>
          <w:szCs w:val="21"/>
        </w:rPr>
        <w:t>(9):50-51.</w:t>
      </w:r>
    </w:p>
    <w:p>
      <w:pPr>
        <w:spacing w:line="400" w:lineRule="exact"/>
        <w:ind w:left="315" w:hanging="315" w:hangingChars="150"/>
        <w:rPr>
          <w:rFonts w:eastAsiaTheme="minorEastAsia"/>
          <w:szCs w:val="21"/>
        </w:rPr>
      </w:pPr>
      <w:r>
        <w:rPr>
          <w:rFonts w:hint="eastAsia" w:ascii="宋体" w:hAnsi="宋体"/>
          <w:szCs w:val="21"/>
        </w:rPr>
        <w:t>[3]</w:t>
      </w:r>
      <w:r>
        <w:rPr>
          <w:rFonts w:hint="eastAsia" w:asciiTheme="minorEastAsia" w:hAnsiTheme="minorEastAsia" w:eastAsiaTheme="minorEastAsia"/>
          <w:szCs w:val="21"/>
        </w:rPr>
        <w:t>祝珣，马文静.布鲁姆教育目标分类理论对大学英语阅读教学的启示</w:t>
      </w:r>
      <w:r>
        <w:rPr>
          <w:rFonts w:asciiTheme="minorEastAsia" w:hAnsiTheme="minorEastAsia" w:eastAsiaTheme="minorEastAsia"/>
          <w:szCs w:val="21"/>
        </w:rPr>
        <w:t>[J]</w:t>
      </w:r>
      <w:r>
        <w:rPr>
          <w:rFonts w:hint="eastAsia" w:asciiTheme="minorEastAsia" w:hAnsiTheme="minorEastAsia" w:eastAsiaTheme="minorEastAsia"/>
          <w:szCs w:val="21"/>
        </w:rPr>
        <w:t>.中国大学教学,</w:t>
      </w:r>
      <w:r>
        <w:rPr>
          <w:rFonts w:eastAsiaTheme="minorEastAsia"/>
          <w:szCs w:val="21"/>
        </w:rPr>
        <w:t>2014</w:t>
      </w:r>
      <w:r>
        <w:rPr>
          <w:rFonts w:hint="eastAsia" w:eastAsiaTheme="minorEastAsia"/>
          <w:szCs w:val="21"/>
          <w:lang w:eastAsia="zh-CN"/>
        </w:rPr>
        <w:t>，</w:t>
      </w:r>
      <w:r>
        <w:rPr>
          <w:rFonts w:eastAsiaTheme="minorEastAsia"/>
          <w:szCs w:val="21"/>
        </w:rPr>
        <w:t>(9):67-71.</w:t>
      </w:r>
    </w:p>
    <w:p>
      <w:pPr>
        <w:spacing w:line="400" w:lineRule="exact"/>
        <w:ind w:left="315" w:hanging="315" w:hangingChars="150"/>
        <w:rPr>
          <w:rFonts w:ascii="宋体" w:hAnsi="宋体"/>
          <w:szCs w:val="21"/>
        </w:rPr>
      </w:pPr>
      <w:r>
        <w:rPr>
          <w:rFonts w:hint="eastAsia" w:ascii="宋体" w:hAnsi="宋体"/>
          <w:szCs w:val="21"/>
        </w:rPr>
        <w:t>[4]孔令帅，杨锐.构建良好的校本学生评价体系-美国《校本学生评价体系探索》报告的启示[J].教育发展研究,</w:t>
      </w:r>
      <w:r>
        <w:rPr>
          <w:rFonts w:hint="eastAsia"/>
          <w:szCs w:val="21"/>
        </w:rPr>
        <w:t>2014</w:t>
      </w:r>
      <w:r>
        <w:rPr>
          <w:rFonts w:hint="eastAsia"/>
          <w:szCs w:val="21"/>
          <w:lang w:eastAsia="zh-CN"/>
        </w:rPr>
        <w:t>，</w:t>
      </w:r>
      <w:r>
        <w:rPr>
          <w:szCs w:val="21"/>
        </w:rPr>
        <w:t>(24):10-14.</w:t>
      </w:r>
    </w:p>
    <w:p>
      <w:pPr>
        <w:spacing w:line="400" w:lineRule="exact"/>
        <w:ind w:left="315" w:hanging="315" w:hangingChars="150"/>
        <w:rPr>
          <w:szCs w:val="21"/>
        </w:rPr>
      </w:pPr>
      <w:r>
        <w:rPr>
          <w:rFonts w:hint="eastAsia" w:ascii="宋体" w:hAnsi="宋体"/>
          <w:szCs w:val="21"/>
        </w:rPr>
        <w:t>[5]</w:t>
      </w:r>
      <w:r>
        <w:rPr>
          <w:szCs w:val="21"/>
        </w:rPr>
        <w:t>Betts, Stephen C. 2008</w:t>
      </w:r>
      <w:r>
        <w:rPr>
          <w:rFonts w:hint="eastAsia"/>
          <w:szCs w:val="21"/>
        </w:rPr>
        <w:t xml:space="preserve">. </w:t>
      </w:r>
      <w:r>
        <w:rPr>
          <w:szCs w:val="21"/>
        </w:rPr>
        <w:t>Teaching and Assessing Basic Concepts to Advanced Applications: Using Bloom’s Taxonomy to Inform Graduate Course Design [J]</w:t>
      </w:r>
      <w:r>
        <w:rPr>
          <w:rFonts w:hint="eastAsia"/>
          <w:szCs w:val="21"/>
        </w:rPr>
        <w:t xml:space="preserve">, </w:t>
      </w:r>
      <w:r>
        <w:rPr>
          <w:szCs w:val="21"/>
        </w:rPr>
        <w:t>Academy of Educational Leadership Journa</w:t>
      </w:r>
      <w:r>
        <w:rPr>
          <w:rFonts w:hint="eastAsia"/>
          <w:szCs w:val="21"/>
        </w:rPr>
        <w:t>l</w:t>
      </w:r>
      <w:r>
        <w:rPr>
          <w:szCs w:val="21"/>
        </w:rPr>
        <w:t>, 2008</w:t>
      </w:r>
      <w:r>
        <w:rPr>
          <w:rFonts w:hint="eastAsia"/>
          <w:szCs w:val="21"/>
          <w:lang w:eastAsia="zh-CN"/>
        </w:rPr>
        <w:t>，</w:t>
      </w:r>
      <w:r>
        <w:rPr>
          <w:szCs w:val="21"/>
        </w:rPr>
        <w:t xml:space="preserve"> (3): 99-106.</w:t>
      </w:r>
    </w:p>
    <w:p>
      <w:pPr>
        <w:spacing w:line="400" w:lineRule="exact"/>
        <w:ind w:left="315" w:hanging="315" w:hangingChars="150"/>
        <w:rPr>
          <w:rFonts w:ascii="宋体" w:hAnsi="宋体"/>
          <w:szCs w:val="21"/>
        </w:rPr>
      </w:pPr>
      <w:r>
        <w:rPr>
          <w:rFonts w:hint="eastAsia" w:ascii="宋体" w:hAnsi="宋体"/>
          <w:szCs w:val="21"/>
        </w:rPr>
        <w:t>[6]胡中锋.校本评价：方法与案例[M].广州：</w:t>
      </w:r>
      <w:r>
        <w:rPr>
          <w:rFonts w:hint="eastAsia"/>
          <w:szCs w:val="21"/>
        </w:rPr>
        <w:t>广东高等教育出版社</w:t>
      </w:r>
      <w:r>
        <w:rPr>
          <w:rFonts w:hint="eastAsia" w:ascii="宋体" w:hAnsi="宋体"/>
          <w:szCs w:val="21"/>
        </w:rPr>
        <w:t>，</w:t>
      </w:r>
      <w:r>
        <w:rPr>
          <w:rFonts w:hint="eastAsia"/>
          <w:szCs w:val="21"/>
        </w:rPr>
        <w:t>2011</w:t>
      </w:r>
      <w:r>
        <w:rPr>
          <w:rFonts w:hint="eastAsia"/>
          <w:szCs w:val="21"/>
          <w:lang w:eastAsia="zh-CN"/>
        </w:rPr>
        <w:t>：</w:t>
      </w:r>
      <w:r>
        <w:rPr>
          <w:rFonts w:hint="eastAsia"/>
          <w:szCs w:val="21"/>
          <w:lang w:val="en-US" w:eastAsia="zh-CN"/>
        </w:rPr>
        <w:t>69</w:t>
      </w:r>
      <w:r>
        <w:rPr>
          <w:rFonts w:hint="eastAsia"/>
          <w:szCs w:val="21"/>
        </w:rPr>
        <w:t>.</w:t>
      </w:r>
    </w:p>
    <w:p>
      <w:pPr>
        <w:spacing w:line="400" w:lineRule="exact"/>
        <w:ind w:left="315" w:hanging="315" w:hangingChars="150"/>
        <w:rPr>
          <w:rFonts w:eastAsiaTheme="minorEastAsia"/>
          <w:szCs w:val="21"/>
        </w:rPr>
      </w:pPr>
      <w:r>
        <w:rPr>
          <w:rFonts w:hint="eastAsia" w:asciiTheme="minorEastAsia" w:hAnsiTheme="minorEastAsia" w:eastAsiaTheme="minorEastAsia"/>
          <w:szCs w:val="21"/>
        </w:rPr>
        <w:t>[7]吴秀兰.形成性评价在国内高校外语教学中应用研究综述[J].外语界,</w:t>
      </w:r>
      <w:r>
        <w:rPr>
          <w:rFonts w:eastAsiaTheme="minorEastAsia"/>
          <w:szCs w:val="21"/>
        </w:rPr>
        <w:t>2008</w:t>
      </w:r>
      <w:r>
        <w:rPr>
          <w:rFonts w:hint="eastAsia" w:eastAsiaTheme="minorEastAsia"/>
          <w:szCs w:val="21"/>
          <w:lang w:eastAsia="zh-CN"/>
        </w:rPr>
        <w:t>，</w:t>
      </w:r>
      <w:r>
        <w:rPr>
          <w:rFonts w:eastAsiaTheme="minorEastAsia"/>
          <w:szCs w:val="21"/>
        </w:rPr>
        <w:t>(3):91-96.</w:t>
      </w:r>
    </w:p>
    <w:p>
      <w:pPr>
        <w:spacing w:line="40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szCs w:val="21"/>
        </w:rPr>
        <w:t>黎加厚. 新教育目标分类学概论</w:t>
      </w:r>
      <w:r>
        <w:rPr>
          <w:rFonts w:hint="eastAsia" w:asciiTheme="minorEastAsia" w:hAnsiTheme="minorEastAsia" w:eastAsiaTheme="minorEastAsia"/>
          <w:szCs w:val="21"/>
        </w:rPr>
        <w:t>[M]</w:t>
      </w:r>
      <w:r>
        <w:rPr>
          <w:rFonts w:hint="eastAsia"/>
          <w:szCs w:val="21"/>
        </w:rPr>
        <w:t>. 上海：上海教育出版社,</w:t>
      </w:r>
      <w:r>
        <w:rPr>
          <w:szCs w:val="21"/>
        </w:rPr>
        <w:t>2010</w:t>
      </w:r>
      <w:r>
        <w:rPr>
          <w:rFonts w:hint="eastAsia"/>
          <w:szCs w:val="21"/>
          <w:lang w:eastAsia="zh-CN"/>
        </w:rPr>
        <w:t>：</w:t>
      </w:r>
      <w:r>
        <w:rPr>
          <w:rFonts w:hint="eastAsia"/>
          <w:szCs w:val="21"/>
          <w:lang w:val="en-US" w:eastAsia="zh-CN"/>
        </w:rPr>
        <w:t>:11</w:t>
      </w:r>
      <w:r>
        <w:rPr>
          <w:szCs w:val="21"/>
        </w:rPr>
        <w:t>.</w:t>
      </w:r>
    </w:p>
    <w:p>
      <w:pPr>
        <w:spacing w:line="400" w:lineRule="exact"/>
        <w:ind w:left="315" w:hanging="315" w:hangingChars="150"/>
        <w:rPr>
          <w:rFonts w:ascii="宋体" w:hAnsi="宋体"/>
          <w:szCs w:val="21"/>
        </w:rPr>
      </w:pPr>
      <w:r>
        <w:rPr>
          <w:rFonts w:hint="eastAsia" w:asciiTheme="minorEastAsia" w:hAnsiTheme="minorEastAsia" w:eastAsiaTheme="minorEastAsia"/>
          <w:szCs w:val="21"/>
        </w:rPr>
        <w:t>[9]</w:t>
      </w:r>
      <w:r>
        <w:rPr>
          <w:rFonts w:hint="eastAsia"/>
          <w:szCs w:val="21"/>
        </w:rPr>
        <w:t xml:space="preserve">Anderson, L.W &amp; Krathwohl, D.R, et al. (Eds). </w:t>
      </w:r>
      <w:r>
        <w:rPr>
          <w:szCs w:val="21"/>
        </w:rPr>
        <w:t xml:space="preserve">A Taxonomy for Learning, Teaching, and Assessing: Pearson New International Edition: A Revision of Bloom's Taxonomy of Educational Objectives, Abridged Edition </w:t>
      </w:r>
      <w:r>
        <w:rPr>
          <w:rFonts w:hint="eastAsia"/>
          <w:szCs w:val="21"/>
        </w:rPr>
        <w:t>[M]. New York: Longman, 2001.</w:t>
      </w:r>
    </w:p>
    <w:p>
      <w:pPr>
        <w:spacing w:line="400" w:lineRule="exact"/>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[10]盛群力.布卢姆认知目标新分类二维框架[J].课程教材教法</w:t>
      </w:r>
      <w:r>
        <w:rPr>
          <w:rFonts w:asciiTheme="minorEastAsia" w:hAnsiTheme="minorEastAsia" w:eastAsiaTheme="minorEastAsia"/>
          <w:szCs w:val="21"/>
        </w:rPr>
        <w:t>,</w:t>
      </w:r>
      <w:r>
        <w:rPr>
          <w:rFonts w:eastAsiaTheme="minorEastAsia"/>
          <w:szCs w:val="21"/>
        </w:rPr>
        <w:t>2004</w:t>
      </w:r>
      <w:r>
        <w:rPr>
          <w:rFonts w:hint="eastAsia" w:eastAsiaTheme="minorEastAsia"/>
          <w:szCs w:val="21"/>
          <w:lang w:eastAsia="zh-CN"/>
        </w:rPr>
        <w:t>，</w:t>
      </w:r>
      <w:r>
        <w:rPr>
          <w:rFonts w:eastAsiaTheme="minorEastAsia"/>
          <w:szCs w:val="21"/>
        </w:rPr>
        <w:t>(9):90-96.</w:t>
      </w:r>
    </w:p>
    <w:p>
      <w:pPr>
        <w:spacing w:line="400" w:lineRule="exact"/>
        <w:ind w:left="420" w:hanging="420" w:hangingChars="200"/>
        <w:rPr>
          <w:rFonts w:eastAsiaTheme="minorEastAsia"/>
          <w:szCs w:val="21"/>
        </w:rPr>
      </w:pPr>
      <w:r>
        <w:rPr>
          <w:rFonts w:hint="eastAsia" w:asciiTheme="minorEastAsia" w:hAnsiTheme="minorEastAsia" w:eastAsiaTheme="minorEastAsia"/>
          <w:szCs w:val="21"/>
        </w:rPr>
        <w:t>[11]宋刚.高校法学院模拟法庭课程学生评价体系初探[J].中国高教研究,</w:t>
      </w:r>
      <w:r>
        <w:rPr>
          <w:rFonts w:eastAsiaTheme="minorEastAsia"/>
          <w:szCs w:val="21"/>
        </w:rPr>
        <w:t>2014</w:t>
      </w:r>
      <w:r>
        <w:rPr>
          <w:rFonts w:hint="eastAsia" w:eastAsiaTheme="minorEastAsia"/>
          <w:szCs w:val="21"/>
          <w:lang w:eastAsia="zh-CN"/>
        </w:rPr>
        <w:t>，</w:t>
      </w:r>
      <w:r>
        <w:rPr>
          <w:rFonts w:eastAsiaTheme="minorEastAsia"/>
          <w:szCs w:val="21"/>
        </w:rPr>
        <w:t>(4):102-105.</w:t>
      </w:r>
    </w:p>
    <w:p>
      <w:pPr>
        <w:spacing w:line="40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[12]李瑞芳.外语教学与学生创造性和批判性思维的培养[J].外语教学,</w:t>
      </w:r>
      <w:r>
        <w:rPr>
          <w:rFonts w:eastAsiaTheme="minorEastAsia"/>
          <w:szCs w:val="21"/>
        </w:rPr>
        <w:t>2002</w:t>
      </w:r>
      <w:r>
        <w:rPr>
          <w:rFonts w:hint="eastAsia" w:eastAsiaTheme="minorEastAsia"/>
          <w:szCs w:val="21"/>
          <w:lang w:eastAsia="zh-CN"/>
        </w:rPr>
        <w:t>，</w:t>
      </w:r>
      <w:r>
        <w:rPr>
          <w:rFonts w:eastAsiaTheme="minorEastAsia"/>
          <w:szCs w:val="21"/>
        </w:rPr>
        <w:t>(5):61-65.</w:t>
      </w:r>
    </w:p>
    <w:p>
      <w:pPr>
        <w:spacing w:line="400" w:lineRule="exact"/>
        <w:ind w:left="420" w:hanging="420" w:hangingChars="200"/>
        <w:rPr>
          <w:rFonts w:ascii="宋体" w:hAnsi="宋体"/>
          <w:szCs w:val="21"/>
        </w:rPr>
      </w:pPr>
      <w:r>
        <w:rPr>
          <w:rFonts w:hint="eastAsia" w:asciiTheme="minorEastAsia" w:hAnsiTheme="minorEastAsia" w:eastAsiaTheme="minorEastAsia"/>
          <w:szCs w:val="21"/>
        </w:rPr>
        <w:t>[13]</w:t>
      </w:r>
      <w:r>
        <w:rPr>
          <w:rFonts w:hint="eastAsia"/>
          <w:szCs w:val="21"/>
        </w:rPr>
        <w:t>Yalden, Janice.</w:t>
      </w:r>
      <w:r>
        <w:rPr>
          <w:szCs w:val="21"/>
        </w:rPr>
        <w:t xml:space="preserve"> </w:t>
      </w:r>
      <w:r>
        <w:rPr>
          <w:rFonts w:hint="eastAsia"/>
          <w:szCs w:val="21"/>
        </w:rPr>
        <w:t xml:space="preserve">Principles of Course Design for Language Teaching[M]. Cambridge: </w:t>
      </w:r>
      <w:r>
        <w:rPr>
          <w:szCs w:val="21"/>
        </w:rPr>
        <w:t>Cambridge University Press</w:t>
      </w:r>
      <w:r>
        <w:rPr>
          <w:rFonts w:hint="eastAsia"/>
          <w:szCs w:val="21"/>
        </w:rPr>
        <w:t>,1987.</w:t>
      </w:r>
    </w:p>
    <w:p>
      <w:pPr>
        <w:spacing w:line="400" w:lineRule="exact"/>
        <w:ind w:left="420" w:hanging="420" w:hangingChars="200"/>
        <w:rPr>
          <w:rFonts w:ascii="宋体" w:hAnsi="宋体"/>
          <w:szCs w:val="21"/>
        </w:rPr>
      </w:pPr>
      <w:r>
        <w:rPr>
          <w:rFonts w:hint="eastAsia" w:ascii="宋体" w:hAnsi="宋体"/>
          <w:szCs w:val="21"/>
        </w:rPr>
        <w:t>[14]</w:t>
      </w:r>
      <w:r>
        <w:rPr>
          <w:szCs w:val="21"/>
        </w:rPr>
        <w:t>戴炜栋．关于面向 21 世纪培养复合型高级外语人才发展战略的几个问题</w:t>
      </w:r>
      <w:r>
        <w:rPr>
          <w:rFonts w:hint="eastAsia" w:asciiTheme="minorEastAsia" w:hAnsiTheme="minorEastAsia" w:eastAsiaTheme="minorEastAsia"/>
          <w:szCs w:val="21"/>
        </w:rPr>
        <w:t>[J</w:t>
      </w:r>
      <w:r>
        <w:rPr>
          <w:rFonts w:asciiTheme="minorEastAsia" w:hAnsiTheme="minorEastAsia" w:eastAsiaTheme="minorEastAsia"/>
          <w:szCs w:val="21"/>
        </w:rPr>
        <w:t>]</w:t>
      </w:r>
      <w:r>
        <w:rPr>
          <w:szCs w:val="21"/>
        </w:rPr>
        <w:t>．外语界</w:t>
      </w:r>
      <w:r>
        <w:rPr>
          <w:rFonts w:hint="eastAsia"/>
          <w:szCs w:val="21"/>
        </w:rPr>
        <w:t>，1999</w:t>
      </w:r>
      <w:r>
        <w:rPr>
          <w:rFonts w:hint="eastAsia"/>
          <w:szCs w:val="21"/>
          <w:lang w:eastAsia="zh-CN"/>
        </w:rPr>
        <w:t>，</w:t>
      </w:r>
      <w:r>
        <w:rPr>
          <w:rFonts w:hint="eastAsia"/>
          <w:szCs w:val="21"/>
        </w:rPr>
        <w:t>(4)</w:t>
      </w:r>
      <w:r>
        <w:rPr>
          <w:rFonts w:hint="eastAsia"/>
          <w:szCs w:val="21"/>
          <w:lang w:eastAsia="zh-CN"/>
        </w:rPr>
        <w:t>：</w:t>
      </w:r>
      <w:r>
        <w:rPr>
          <w:szCs w:val="21"/>
        </w:rPr>
        <w:t>1-3．</w:t>
      </w:r>
    </w:p>
    <w:p>
      <w:pPr>
        <w:spacing w:line="400" w:lineRule="exact"/>
        <w:ind w:left="420" w:hanging="420" w:hangingChars="200"/>
        <w:rPr>
          <w:rFonts w:eastAsiaTheme="minorEastAsia"/>
          <w:szCs w:val="21"/>
        </w:rPr>
      </w:pPr>
      <w:r>
        <w:rPr>
          <w:rFonts w:hint="eastAsia" w:ascii="宋体" w:hAnsi="宋体"/>
          <w:szCs w:val="21"/>
        </w:rPr>
        <w:t>[15]</w:t>
      </w:r>
      <w:r>
        <w:rPr>
          <w:rFonts w:hint="eastAsia" w:asciiTheme="minorEastAsia" w:hAnsiTheme="minorEastAsia" w:eastAsiaTheme="minorEastAsia"/>
          <w:szCs w:val="21"/>
        </w:rPr>
        <w:t>刘春燕.复合型外语人才的教育目标框架[J</w:t>
      </w:r>
      <w:r>
        <w:rPr>
          <w:rFonts w:asciiTheme="minorEastAsia" w:hAnsiTheme="minorEastAsia" w:eastAsiaTheme="minorEastAsia"/>
          <w:szCs w:val="21"/>
        </w:rPr>
        <w:t>]</w:t>
      </w:r>
      <w:r>
        <w:rPr>
          <w:rFonts w:hint="eastAsia" w:asciiTheme="minorEastAsia" w:hAnsiTheme="minorEastAsia" w:eastAsiaTheme="minorEastAsia"/>
          <w:szCs w:val="21"/>
        </w:rPr>
        <w:t>.外语界,</w:t>
      </w:r>
      <w:r>
        <w:rPr>
          <w:rFonts w:eastAsiaTheme="minorEastAsia"/>
          <w:szCs w:val="21"/>
        </w:rPr>
        <w:t>2012</w:t>
      </w:r>
      <w:r>
        <w:rPr>
          <w:rFonts w:hint="eastAsia" w:eastAsiaTheme="minorEastAsia"/>
          <w:szCs w:val="21"/>
          <w:lang w:eastAsia="zh-CN"/>
        </w:rPr>
        <w:t>，</w:t>
      </w:r>
      <w:r>
        <w:rPr>
          <w:rFonts w:eastAsiaTheme="minorEastAsia"/>
          <w:szCs w:val="21"/>
        </w:rPr>
        <w:t>(1):10-18.</w:t>
      </w:r>
    </w:p>
    <w:p>
      <w:pPr>
        <w:spacing w:line="440" w:lineRule="atLeast"/>
        <w:ind w:firstLine="420" w:firstLineChars="200"/>
        <w:rPr>
          <w:rFonts w:hint="eastAsia" w:ascii="宋体" w:hAnsi="宋体"/>
          <w:szCs w:val="21"/>
        </w:rPr>
      </w:pPr>
    </w:p>
    <w:p>
      <w:pPr>
        <w:spacing w:line="380" w:lineRule="atLeast"/>
        <w:jc w:val="center"/>
        <w:rPr>
          <w:kern w:val="0"/>
          <w:szCs w:val="21"/>
        </w:rPr>
      </w:pPr>
      <w:r>
        <w:rPr>
          <w:kern w:val="0"/>
          <w:szCs w:val="21"/>
        </w:rPr>
        <w:t>O</w:t>
      </w:r>
      <w:r>
        <w:rPr>
          <w:rFonts w:hint="eastAsia"/>
          <w:kern w:val="0"/>
          <w:szCs w:val="21"/>
        </w:rPr>
        <w:t xml:space="preserve">n </w:t>
      </w:r>
      <w:r>
        <w:rPr>
          <w:kern w:val="0"/>
          <w:szCs w:val="21"/>
        </w:rPr>
        <w:t>t</w:t>
      </w:r>
      <w:r>
        <w:rPr>
          <w:rFonts w:hint="eastAsia"/>
          <w:kern w:val="0"/>
          <w:szCs w:val="21"/>
        </w:rPr>
        <w:t xml:space="preserve">he Construction of </w:t>
      </w:r>
      <w:r>
        <w:rPr>
          <w:kern w:val="0"/>
          <w:szCs w:val="21"/>
        </w:rPr>
        <w:t>Student Evaluation</w:t>
      </w:r>
      <w:r>
        <w:rPr>
          <w:rFonts w:hint="eastAsia"/>
          <w:kern w:val="0"/>
          <w:szCs w:val="21"/>
        </w:rPr>
        <w:t xml:space="preserve"> System </w:t>
      </w:r>
      <w:r>
        <w:rPr>
          <w:kern w:val="0"/>
          <w:szCs w:val="21"/>
        </w:rPr>
        <w:t>in</w:t>
      </w:r>
      <w:r>
        <w:rPr>
          <w:rFonts w:hint="eastAsia"/>
          <w:kern w:val="0"/>
          <w:szCs w:val="21"/>
        </w:rPr>
        <w:t xml:space="preserve"> Advanced English C</w:t>
      </w:r>
      <w:bookmarkStart w:id="1" w:name="_GoBack"/>
      <w:bookmarkEnd w:id="1"/>
      <w:r>
        <w:rPr>
          <w:rFonts w:hint="eastAsia"/>
          <w:kern w:val="0"/>
          <w:szCs w:val="21"/>
        </w:rPr>
        <w:t>ourse</w:t>
      </w:r>
      <w:r>
        <w:rPr>
          <w:kern w:val="0"/>
          <w:szCs w:val="21"/>
        </w:rPr>
        <w:t xml:space="preserve"> under the Guidance of Taxonomy of Educational Objectives</w:t>
      </w:r>
    </w:p>
    <w:p>
      <w:pPr>
        <w:autoSpaceDE w:val="0"/>
        <w:autoSpaceDN w:val="0"/>
        <w:adjustRightInd w:val="0"/>
        <w:spacing w:line="380" w:lineRule="atLeast"/>
        <w:jc w:val="center"/>
        <w:rPr>
          <w:kern w:val="0"/>
          <w:szCs w:val="21"/>
        </w:rPr>
      </w:pPr>
      <w:r>
        <w:rPr>
          <w:kern w:val="0"/>
          <w:szCs w:val="21"/>
        </w:rPr>
        <w:t>ZHENG R</w:t>
      </w:r>
      <w:r>
        <w:rPr>
          <w:rFonts w:hint="eastAsia"/>
          <w:kern w:val="0"/>
          <w:szCs w:val="21"/>
        </w:rPr>
        <w:t>uijun</w:t>
      </w:r>
    </w:p>
    <w:p>
      <w:pPr>
        <w:autoSpaceDE w:val="0"/>
        <w:autoSpaceDN w:val="0"/>
        <w:adjustRightInd w:val="0"/>
        <w:spacing w:line="380" w:lineRule="atLeast"/>
        <w:jc w:val="center"/>
        <w:rPr>
          <w:szCs w:val="21"/>
        </w:rPr>
      </w:pPr>
      <w:r>
        <w:rPr>
          <w:rFonts w:hint="eastAsia"/>
          <w:kern w:val="0"/>
          <w:szCs w:val="21"/>
        </w:rPr>
        <w:t>(Sichuan International Studies University, Chongqing 400031, China)</w:t>
      </w:r>
    </w:p>
    <w:p>
      <w:pPr>
        <w:spacing w:line="380" w:lineRule="atLeast"/>
        <w:ind w:firstLine="413" w:firstLineChars="196"/>
        <w:jc w:val="center"/>
        <w:rPr>
          <w:b/>
          <w:szCs w:val="21"/>
        </w:rPr>
      </w:pPr>
    </w:p>
    <w:p>
      <w:pPr>
        <w:spacing w:line="380" w:lineRule="atLeast"/>
        <w:ind w:firstLine="413" w:firstLineChars="196"/>
        <w:rPr>
          <w:b/>
          <w:szCs w:val="21"/>
        </w:rPr>
      </w:pPr>
      <w:r>
        <w:rPr>
          <w:b/>
          <w:bCs/>
          <w:szCs w:val="21"/>
        </w:rPr>
        <w:t>Abstract</w:t>
      </w:r>
      <w:r>
        <w:rPr>
          <w:rFonts w:hint="eastAsia" w:hAnsi="宋体"/>
          <w:b/>
          <w:szCs w:val="21"/>
        </w:rPr>
        <w:t>:</w:t>
      </w:r>
      <w:r>
        <w:rPr>
          <w:rFonts w:hAnsi="宋体"/>
          <w:b/>
          <w:szCs w:val="21"/>
        </w:rPr>
        <w:t xml:space="preserve"> </w:t>
      </w:r>
      <w:r>
        <w:rPr>
          <w:i/>
          <w:kern w:val="0"/>
          <w:szCs w:val="21"/>
        </w:rPr>
        <w:t>A Revision of Bloom's Taxonomy of Educational Objectives</w:t>
      </w:r>
      <w:r>
        <w:rPr>
          <w:rFonts w:hint="eastAsia"/>
          <w:kern w:val="0"/>
          <w:szCs w:val="21"/>
        </w:rPr>
        <w:t xml:space="preserve"> in 2001 puts educational objectives into two dimensions: knowledge dimension and cognitive process dimension. </w:t>
      </w:r>
      <w:r>
        <w:rPr>
          <w:kern w:val="0"/>
          <w:szCs w:val="21"/>
        </w:rPr>
        <w:t>U</w:t>
      </w:r>
      <w:r>
        <w:rPr>
          <w:rFonts w:hint="eastAsia"/>
          <w:kern w:val="0"/>
          <w:szCs w:val="21"/>
        </w:rPr>
        <w:t xml:space="preserve">nder the </w:t>
      </w:r>
      <w:r>
        <w:rPr>
          <w:kern w:val="0"/>
          <w:szCs w:val="21"/>
        </w:rPr>
        <w:t>f</w:t>
      </w:r>
      <w:r>
        <w:rPr>
          <w:rFonts w:hint="eastAsia"/>
          <w:kern w:val="0"/>
          <w:szCs w:val="21"/>
        </w:rPr>
        <w:t>rame</w:t>
      </w:r>
      <w:r>
        <w:rPr>
          <w:kern w:val="0"/>
          <w:szCs w:val="21"/>
        </w:rPr>
        <w:t>work</w:t>
      </w:r>
      <w:r>
        <w:rPr>
          <w:rFonts w:hint="eastAsia"/>
          <w:kern w:val="0"/>
          <w:szCs w:val="21"/>
        </w:rPr>
        <w:t xml:space="preserve"> of </w:t>
      </w:r>
      <w:r>
        <w:rPr>
          <w:kern w:val="0"/>
          <w:szCs w:val="21"/>
        </w:rPr>
        <w:t>i</w:t>
      </w:r>
      <w:r>
        <w:rPr>
          <w:rFonts w:hint="eastAsia"/>
          <w:kern w:val="0"/>
          <w:szCs w:val="21"/>
        </w:rPr>
        <w:t xml:space="preserve">nterdisciplinary </w:t>
      </w:r>
      <w:r>
        <w:rPr>
          <w:kern w:val="0"/>
          <w:szCs w:val="21"/>
        </w:rPr>
        <w:t>t</w:t>
      </w:r>
      <w:r>
        <w:rPr>
          <w:rFonts w:hint="eastAsia"/>
          <w:kern w:val="0"/>
          <w:szCs w:val="21"/>
        </w:rPr>
        <w:t xml:space="preserve">alents </w:t>
      </w:r>
      <w:r>
        <w:rPr>
          <w:kern w:val="0"/>
          <w:szCs w:val="21"/>
        </w:rPr>
        <w:t>c</w:t>
      </w:r>
      <w:r>
        <w:rPr>
          <w:rFonts w:hint="eastAsia"/>
          <w:kern w:val="0"/>
          <w:szCs w:val="21"/>
        </w:rPr>
        <w:t xml:space="preserve">ultivation for </w:t>
      </w:r>
      <w:r>
        <w:rPr>
          <w:kern w:val="0"/>
          <w:szCs w:val="21"/>
        </w:rPr>
        <w:t xml:space="preserve">foreign </w:t>
      </w:r>
      <w:r>
        <w:rPr>
          <w:rFonts w:hint="eastAsia"/>
          <w:kern w:val="0"/>
          <w:szCs w:val="21"/>
        </w:rPr>
        <w:t xml:space="preserve">language majors, </w:t>
      </w:r>
      <w:r>
        <w:rPr>
          <w:kern w:val="0"/>
          <w:szCs w:val="21"/>
        </w:rPr>
        <w:t xml:space="preserve">student evaluation </w:t>
      </w:r>
      <w:r>
        <w:rPr>
          <w:rFonts w:hint="eastAsia"/>
          <w:kern w:val="0"/>
          <w:szCs w:val="21"/>
        </w:rPr>
        <w:t>system of Advanced English Course</w:t>
      </w:r>
      <w:r>
        <w:rPr>
          <w:kern w:val="0"/>
          <w:szCs w:val="21"/>
        </w:rPr>
        <w:t xml:space="preserve"> is established as “formative evaluation-focused and </w:t>
      </w:r>
      <w:r>
        <w:rPr>
          <w:rFonts w:hint="eastAsia"/>
          <w:kern w:val="0"/>
          <w:szCs w:val="21"/>
        </w:rPr>
        <w:t>summative eval</w:t>
      </w:r>
      <w:r>
        <w:rPr>
          <w:kern w:val="0"/>
          <w:szCs w:val="21"/>
        </w:rPr>
        <w:t>u</w:t>
      </w:r>
      <w:r>
        <w:rPr>
          <w:rFonts w:hint="eastAsia"/>
          <w:kern w:val="0"/>
          <w:szCs w:val="21"/>
        </w:rPr>
        <w:t>ation</w:t>
      </w:r>
      <w:r>
        <w:rPr>
          <w:kern w:val="0"/>
          <w:szCs w:val="21"/>
        </w:rPr>
        <w:t>-supplemented”, guided by Taxonomy of Educational Objectives</w:t>
      </w:r>
      <w:r>
        <w:rPr>
          <w:rFonts w:hint="eastAsia"/>
          <w:kern w:val="0"/>
          <w:szCs w:val="21"/>
        </w:rPr>
        <w:t xml:space="preserve">. The system benefits </w:t>
      </w:r>
      <w:r>
        <w:rPr>
          <w:kern w:val="0"/>
          <w:szCs w:val="21"/>
        </w:rPr>
        <w:t>the improvement</w:t>
      </w:r>
      <w:r>
        <w:rPr>
          <w:rFonts w:hint="eastAsia"/>
          <w:kern w:val="0"/>
          <w:szCs w:val="21"/>
        </w:rPr>
        <w:t xml:space="preserve"> of teaching quality</w:t>
      </w:r>
      <w:r>
        <w:rPr>
          <w:kern w:val="0"/>
          <w:szCs w:val="21"/>
        </w:rPr>
        <w:t xml:space="preserve"> and </w:t>
      </w:r>
      <w:r>
        <w:rPr>
          <w:rFonts w:hint="eastAsia"/>
          <w:kern w:val="0"/>
          <w:szCs w:val="21"/>
        </w:rPr>
        <w:t xml:space="preserve">the adjustment of contents while brings washback </w:t>
      </w:r>
      <w:r>
        <w:rPr>
          <w:kern w:val="0"/>
          <w:szCs w:val="21"/>
        </w:rPr>
        <w:t>effect and enhancement to itself</w:t>
      </w:r>
      <w:r>
        <w:rPr>
          <w:rFonts w:hint="eastAsia"/>
          <w:kern w:val="0"/>
          <w:szCs w:val="21"/>
        </w:rPr>
        <w:t>.</w:t>
      </w:r>
    </w:p>
    <w:p>
      <w:pPr>
        <w:spacing w:line="380" w:lineRule="atLeast"/>
        <w:rPr>
          <w:kern w:val="0"/>
          <w:szCs w:val="21"/>
        </w:rPr>
      </w:pPr>
      <w:r>
        <w:rPr>
          <w:b/>
          <w:bCs/>
          <w:szCs w:val="21"/>
        </w:rPr>
        <w:t>Key words</w:t>
      </w:r>
      <w:r>
        <w:rPr>
          <w:rFonts w:hint="eastAsia" w:hAnsi="宋体"/>
          <w:b/>
          <w:bCs/>
          <w:szCs w:val="21"/>
        </w:rPr>
        <w:t>:</w:t>
      </w:r>
      <w:r>
        <w:rPr>
          <w:rFonts w:hAnsi="宋体"/>
          <w:b/>
          <w:bCs/>
          <w:szCs w:val="21"/>
        </w:rPr>
        <w:t xml:space="preserve"> </w:t>
      </w:r>
      <w:r>
        <w:rPr>
          <w:kern w:val="0"/>
          <w:szCs w:val="21"/>
        </w:rPr>
        <w:t>Taxonomy of Educational Objectives</w:t>
      </w:r>
      <w:r>
        <w:rPr>
          <w:rFonts w:hint="eastAsia"/>
          <w:kern w:val="0"/>
          <w:szCs w:val="21"/>
        </w:rPr>
        <w:t xml:space="preserve">; Advanced English; </w:t>
      </w:r>
      <w:r>
        <w:rPr>
          <w:kern w:val="0"/>
          <w:szCs w:val="21"/>
        </w:rPr>
        <w:t>student evaluation</w:t>
      </w:r>
      <w:r>
        <w:rPr>
          <w:rFonts w:hint="eastAsia"/>
          <w:kern w:val="0"/>
          <w:szCs w:val="21"/>
        </w:rPr>
        <w:t xml:space="preserve"> system</w:t>
      </w:r>
      <w:r>
        <w:rPr>
          <w:kern w:val="0"/>
          <w:szCs w:val="21"/>
        </w:rPr>
        <w:t xml:space="preserve"> </w:t>
      </w:r>
    </w:p>
    <w:p>
      <w:pPr>
        <w:spacing w:line="380" w:lineRule="atLeast"/>
        <w:rPr>
          <w:rFonts w:hint="eastAsia" w:eastAsia="宋体"/>
          <w:kern w:val="0"/>
          <w:szCs w:val="21"/>
          <w:lang w:eastAsia="zh-CN"/>
        </w:rPr>
      </w:pPr>
      <w:r>
        <w:rPr>
          <w:rFonts w:hint="eastAsia"/>
          <w:kern w:val="0"/>
          <w:szCs w:val="21"/>
          <w:lang w:eastAsia="zh-CN"/>
        </w:rPr>
        <w:t>（责任编辑：王培英）</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233618"/>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kern w:val="0"/>
          <w:sz w:val="18"/>
          <w:szCs w:val="18"/>
        </w:rPr>
      </w:pPr>
      <w:r>
        <w:rPr>
          <w:rStyle w:val="14"/>
        </w:rPr>
        <w:footnoteRef/>
      </w:r>
      <w:r>
        <w:t xml:space="preserve"> </w:t>
      </w:r>
      <w:r>
        <w:rPr>
          <w:rFonts w:hAnsi="宋体"/>
          <w:kern w:val="0"/>
          <w:sz w:val="18"/>
          <w:szCs w:val="18"/>
        </w:rPr>
        <w:t>收稿日期：</w:t>
      </w:r>
      <w:r>
        <w:rPr>
          <w:kern w:val="0"/>
          <w:sz w:val="18"/>
          <w:szCs w:val="18"/>
        </w:rPr>
        <w:t>2018</w:t>
      </w:r>
      <w:r>
        <w:rPr>
          <w:rFonts w:hAnsi="宋体"/>
          <w:kern w:val="0"/>
          <w:sz w:val="18"/>
          <w:szCs w:val="18"/>
        </w:rPr>
        <w:t>年</w:t>
      </w:r>
      <w:r>
        <w:rPr>
          <w:rFonts w:hint="eastAsia" w:hAnsi="宋体"/>
          <w:kern w:val="0"/>
          <w:sz w:val="18"/>
          <w:szCs w:val="18"/>
          <w:lang w:val="en-US" w:eastAsia="zh-CN"/>
        </w:rPr>
        <w:t>0</w:t>
      </w:r>
      <w:r>
        <w:rPr>
          <w:kern w:val="0"/>
          <w:sz w:val="18"/>
          <w:szCs w:val="18"/>
        </w:rPr>
        <w:t>9</w:t>
      </w:r>
      <w:r>
        <w:rPr>
          <w:rFonts w:hAnsi="宋体"/>
          <w:kern w:val="0"/>
          <w:sz w:val="18"/>
          <w:szCs w:val="18"/>
        </w:rPr>
        <w:t>月</w:t>
      </w:r>
      <w:r>
        <w:rPr>
          <w:rFonts w:hint="eastAsia" w:hAnsi="宋体"/>
          <w:kern w:val="0"/>
          <w:sz w:val="18"/>
          <w:szCs w:val="18"/>
          <w:lang w:val="en-US" w:eastAsia="zh-CN"/>
        </w:rPr>
        <w:t>0</w:t>
      </w:r>
      <w:r>
        <w:rPr>
          <w:kern w:val="0"/>
          <w:sz w:val="18"/>
          <w:szCs w:val="18"/>
        </w:rPr>
        <w:t>7</w:t>
      </w:r>
      <w:r>
        <w:rPr>
          <w:rFonts w:hAnsi="宋体"/>
          <w:kern w:val="0"/>
          <w:sz w:val="18"/>
          <w:szCs w:val="18"/>
        </w:rPr>
        <w:t>日。</w:t>
      </w:r>
    </w:p>
    <w:p>
      <w:pPr>
        <w:widowControl/>
        <w:ind w:firstLine="180" w:firstLineChars="100"/>
        <w:rPr>
          <w:color w:val="000000"/>
          <w:kern w:val="0"/>
          <w:sz w:val="18"/>
          <w:szCs w:val="18"/>
        </w:rPr>
      </w:pPr>
      <w:r>
        <w:rPr>
          <w:rFonts w:hAnsi="宋体"/>
          <w:kern w:val="0"/>
          <w:sz w:val="18"/>
          <w:szCs w:val="18"/>
        </w:rPr>
        <w:t>作者简介</w:t>
      </w:r>
      <w:r>
        <w:rPr>
          <w:rFonts w:hAnsi="宋体"/>
          <w:color w:val="000000"/>
          <w:kern w:val="0"/>
          <w:sz w:val="18"/>
          <w:szCs w:val="18"/>
        </w:rPr>
        <w:t>：</w:t>
      </w:r>
      <w:r>
        <w:rPr>
          <w:rFonts w:hint="eastAsia" w:hAnsi="宋体"/>
          <w:color w:val="000000"/>
          <w:kern w:val="0"/>
          <w:sz w:val="18"/>
          <w:szCs w:val="18"/>
        </w:rPr>
        <w:t>郑瑞珺</w:t>
      </w:r>
      <w:r>
        <w:rPr>
          <w:rFonts w:hAnsi="宋体"/>
          <w:color w:val="000000"/>
          <w:kern w:val="0"/>
          <w:sz w:val="18"/>
          <w:szCs w:val="18"/>
        </w:rPr>
        <w:t>（1985</w:t>
      </w:r>
      <w:r>
        <w:rPr>
          <w:rFonts w:hint="eastAsia" w:hAnsi="宋体"/>
          <w:color w:val="000000"/>
          <w:kern w:val="0"/>
          <w:sz w:val="18"/>
          <w:szCs w:val="18"/>
        </w:rPr>
        <w:t>-</w:t>
      </w:r>
      <w:r>
        <w:rPr>
          <w:rFonts w:hAnsi="宋体"/>
          <w:color w:val="000000"/>
          <w:kern w:val="0"/>
          <w:sz w:val="18"/>
          <w:szCs w:val="18"/>
        </w:rPr>
        <w:t>），</w:t>
      </w:r>
      <w:r>
        <w:rPr>
          <w:rFonts w:hint="eastAsia" w:hAnsi="宋体"/>
          <w:color w:val="000000"/>
          <w:kern w:val="0"/>
          <w:sz w:val="18"/>
          <w:szCs w:val="18"/>
        </w:rPr>
        <w:t>女</w:t>
      </w:r>
      <w:r>
        <w:rPr>
          <w:rFonts w:hAnsi="宋体"/>
          <w:color w:val="000000"/>
          <w:kern w:val="0"/>
          <w:sz w:val="18"/>
          <w:szCs w:val="18"/>
        </w:rPr>
        <w:t>，</w:t>
      </w:r>
      <w:r>
        <w:rPr>
          <w:rFonts w:hint="eastAsia" w:hAnsi="宋体"/>
          <w:color w:val="000000"/>
          <w:kern w:val="0"/>
          <w:sz w:val="18"/>
          <w:szCs w:val="18"/>
        </w:rPr>
        <w:t>四川成都</w:t>
      </w:r>
      <w:r>
        <w:rPr>
          <w:rFonts w:hint="eastAsia" w:hAnsi="宋体"/>
          <w:color w:val="000000"/>
          <w:kern w:val="0"/>
          <w:sz w:val="18"/>
          <w:szCs w:val="18"/>
          <w:lang w:eastAsia="zh-CN"/>
        </w:rPr>
        <w:t>人</w:t>
      </w:r>
      <w:r>
        <w:rPr>
          <w:rFonts w:hAnsi="宋体"/>
          <w:color w:val="000000"/>
          <w:kern w:val="0"/>
          <w:sz w:val="18"/>
          <w:szCs w:val="18"/>
        </w:rPr>
        <w:t>，</w:t>
      </w:r>
      <w:r>
        <w:rPr>
          <w:rFonts w:hint="eastAsia" w:hAnsi="宋体"/>
          <w:color w:val="000000"/>
          <w:kern w:val="0"/>
          <w:sz w:val="18"/>
          <w:szCs w:val="18"/>
        </w:rPr>
        <w:t>讲师</w:t>
      </w:r>
      <w:r>
        <w:rPr>
          <w:rFonts w:hAnsi="宋体"/>
          <w:color w:val="000000"/>
          <w:kern w:val="0"/>
          <w:sz w:val="18"/>
          <w:szCs w:val="18"/>
        </w:rPr>
        <w:t>，</w:t>
      </w:r>
      <w:r>
        <w:rPr>
          <w:rFonts w:hint="eastAsia" w:hAnsi="宋体"/>
          <w:color w:val="000000"/>
          <w:kern w:val="0"/>
          <w:sz w:val="18"/>
          <w:szCs w:val="18"/>
        </w:rPr>
        <w:t>硕士研究生</w:t>
      </w:r>
      <w:r>
        <w:rPr>
          <w:rFonts w:hAnsi="宋体"/>
          <w:color w:val="000000"/>
          <w:kern w:val="0"/>
          <w:sz w:val="18"/>
          <w:szCs w:val="18"/>
        </w:rPr>
        <w:t>，研究方向：</w:t>
      </w:r>
      <w:r>
        <w:rPr>
          <w:rFonts w:hint="eastAsia"/>
          <w:color w:val="000000"/>
          <w:kern w:val="0"/>
          <w:sz w:val="18"/>
          <w:szCs w:val="18"/>
        </w:rPr>
        <w:t>教学法</w:t>
      </w:r>
      <w:r>
        <w:rPr>
          <w:rFonts w:hAnsi="宋体"/>
          <w:color w:val="000000"/>
          <w:kern w:val="0"/>
          <w:sz w:val="18"/>
          <w:szCs w:val="18"/>
        </w:rPr>
        <w:t>。</w:t>
      </w:r>
    </w:p>
    <w:p>
      <w:pPr>
        <w:pStyle w:val="9"/>
      </w:pPr>
    </w:p>
  </w:footnote>
  <w:footnote w:id="1">
    <w:p>
      <w:pPr>
        <w:pStyle w:val="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FF"/>
    <w:rsid w:val="00001C73"/>
    <w:rsid w:val="00006078"/>
    <w:rsid w:val="00006DA6"/>
    <w:rsid w:val="000070E2"/>
    <w:rsid w:val="00007CB0"/>
    <w:rsid w:val="00015D17"/>
    <w:rsid w:val="00016984"/>
    <w:rsid w:val="00016CE9"/>
    <w:rsid w:val="000170A3"/>
    <w:rsid w:val="000203E5"/>
    <w:rsid w:val="000235F9"/>
    <w:rsid w:val="0002387B"/>
    <w:rsid w:val="00025BF3"/>
    <w:rsid w:val="00025D5E"/>
    <w:rsid w:val="00026989"/>
    <w:rsid w:val="00030A34"/>
    <w:rsid w:val="00032DF1"/>
    <w:rsid w:val="000348A6"/>
    <w:rsid w:val="0003783F"/>
    <w:rsid w:val="000405A1"/>
    <w:rsid w:val="00042668"/>
    <w:rsid w:val="00047DBA"/>
    <w:rsid w:val="0005111C"/>
    <w:rsid w:val="0005133D"/>
    <w:rsid w:val="00054BD3"/>
    <w:rsid w:val="00054E66"/>
    <w:rsid w:val="0006219C"/>
    <w:rsid w:val="00062217"/>
    <w:rsid w:val="0006244A"/>
    <w:rsid w:val="00062C49"/>
    <w:rsid w:val="00071F7B"/>
    <w:rsid w:val="000734A7"/>
    <w:rsid w:val="00073608"/>
    <w:rsid w:val="000836F1"/>
    <w:rsid w:val="000837FE"/>
    <w:rsid w:val="00090388"/>
    <w:rsid w:val="000927FB"/>
    <w:rsid w:val="0009487E"/>
    <w:rsid w:val="000A0666"/>
    <w:rsid w:val="000A50BC"/>
    <w:rsid w:val="000A7119"/>
    <w:rsid w:val="000B143A"/>
    <w:rsid w:val="000B6974"/>
    <w:rsid w:val="000C5604"/>
    <w:rsid w:val="000C56DB"/>
    <w:rsid w:val="000C69D1"/>
    <w:rsid w:val="000D1BE5"/>
    <w:rsid w:val="000D543C"/>
    <w:rsid w:val="000D6273"/>
    <w:rsid w:val="000E3B35"/>
    <w:rsid w:val="000E43AA"/>
    <w:rsid w:val="000E486C"/>
    <w:rsid w:val="000E4942"/>
    <w:rsid w:val="000E5233"/>
    <w:rsid w:val="000E7B9D"/>
    <w:rsid w:val="000F4A5F"/>
    <w:rsid w:val="000F6A19"/>
    <w:rsid w:val="00103080"/>
    <w:rsid w:val="00103E4F"/>
    <w:rsid w:val="0010522D"/>
    <w:rsid w:val="00112877"/>
    <w:rsid w:val="00112EA8"/>
    <w:rsid w:val="001175AA"/>
    <w:rsid w:val="00126540"/>
    <w:rsid w:val="001273FE"/>
    <w:rsid w:val="00130213"/>
    <w:rsid w:val="001318B8"/>
    <w:rsid w:val="0013604F"/>
    <w:rsid w:val="00137669"/>
    <w:rsid w:val="00137EF4"/>
    <w:rsid w:val="00142572"/>
    <w:rsid w:val="00147241"/>
    <w:rsid w:val="00150ED2"/>
    <w:rsid w:val="00154A84"/>
    <w:rsid w:val="001558D4"/>
    <w:rsid w:val="00160C3C"/>
    <w:rsid w:val="00160CC5"/>
    <w:rsid w:val="001631ED"/>
    <w:rsid w:val="00163B61"/>
    <w:rsid w:val="00164B6E"/>
    <w:rsid w:val="0017373C"/>
    <w:rsid w:val="00177C26"/>
    <w:rsid w:val="001842A2"/>
    <w:rsid w:val="00185538"/>
    <w:rsid w:val="00186EA8"/>
    <w:rsid w:val="00187CEA"/>
    <w:rsid w:val="00192155"/>
    <w:rsid w:val="001955B1"/>
    <w:rsid w:val="00197E36"/>
    <w:rsid w:val="001A0B7F"/>
    <w:rsid w:val="001A275E"/>
    <w:rsid w:val="001A4A0A"/>
    <w:rsid w:val="001B0CFC"/>
    <w:rsid w:val="001B4400"/>
    <w:rsid w:val="001B5F0A"/>
    <w:rsid w:val="001C2BCF"/>
    <w:rsid w:val="001C3EA2"/>
    <w:rsid w:val="001C4642"/>
    <w:rsid w:val="001C4713"/>
    <w:rsid w:val="001C6C12"/>
    <w:rsid w:val="001C7370"/>
    <w:rsid w:val="001D3625"/>
    <w:rsid w:val="001D3FD4"/>
    <w:rsid w:val="001E0A5B"/>
    <w:rsid w:val="001E2C08"/>
    <w:rsid w:val="001F2AF4"/>
    <w:rsid w:val="002020DE"/>
    <w:rsid w:val="0021223D"/>
    <w:rsid w:val="002144AC"/>
    <w:rsid w:val="00214B74"/>
    <w:rsid w:val="00217397"/>
    <w:rsid w:val="00221A9E"/>
    <w:rsid w:val="002220F2"/>
    <w:rsid w:val="002235C1"/>
    <w:rsid w:val="002274E5"/>
    <w:rsid w:val="002308BD"/>
    <w:rsid w:val="002359B9"/>
    <w:rsid w:val="00240C96"/>
    <w:rsid w:val="00241214"/>
    <w:rsid w:val="00245E1A"/>
    <w:rsid w:val="002506A5"/>
    <w:rsid w:val="00250EBE"/>
    <w:rsid w:val="00254039"/>
    <w:rsid w:val="00255104"/>
    <w:rsid w:val="00256B46"/>
    <w:rsid w:val="0025764F"/>
    <w:rsid w:val="002600E8"/>
    <w:rsid w:val="0026147A"/>
    <w:rsid w:val="00261C96"/>
    <w:rsid w:val="002630A4"/>
    <w:rsid w:val="002633D8"/>
    <w:rsid w:val="00264079"/>
    <w:rsid w:val="00267360"/>
    <w:rsid w:val="002674DA"/>
    <w:rsid w:val="00267A3E"/>
    <w:rsid w:val="00275D3A"/>
    <w:rsid w:val="002766A2"/>
    <w:rsid w:val="0028692D"/>
    <w:rsid w:val="002876F3"/>
    <w:rsid w:val="00287983"/>
    <w:rsid w:val="00292ACC"/>
    <w:rsid w:val="002939D3"/>
    <w:rsid w:val="002A2F44"/>
    <w:rsid w:val="002A40C7"/>
    <w:rsid w:val="002B4BCA"/>
    <w:rsid w:val="002C680B"/>
    <w:rsid w:val="002C79CA"/>
    <w:rsid w:val="002D4E9A"/>
    <w:rsid w:val="002D5BE2"/>
    <w:rsid w:val="002D7B81"/>
    <w:rsid w:val="002E06F0"/>
    <w:rsid w:val="002E09AC"/>
    <w:rsid w:val="002E0E6F"/>
    <w:rsid w:val="002E1C66"/>
    <w:rsid w:val="002E304C"/>
    <w:rsid w:val="002F1156"/>
    <w:rsid w:val="002F4963"/>
    <w:rsid w:val="002F5AE5"/>
    <w:rsid w:val="00303250"/>
    <w:rsid w:val="00303C07"/>
    <w:rsid w:val="00303F7C"/>
    <w:rsid w:val="00306CBC"/>
    <w:rsid w:val="00310409"/>
    <w:rsid w:val="00312B47"/>
    <w:rsid w:val="00314919"/>
    <w:rsid w:val="00314BC9"/>
    <w:rsid w:val="00316DDE"/>
    <w:rsid w:val="00322900"/>
    <w:rsid w:val="00324B55"/>
    <w:rsid w:val="003262DB"/>
    <w:rsid w:val="003366AB"/>
    <w:rsid w:val="003375E9"/>
    <w:rsid w:val="00344DE1"/>
    <w:rsid w:val="00345C9F"/>
    <w:rsid w:val="00347F10"/>
    <w:rsid w:val="003523BD"/>
    <w:rsid w:val="00352A72"/>
    <w:rsid w:val="00362142"/>
    <w:rsid w:val="003632B4"/>
    <w:rsid w:val="003639A5"/>
    <w:rsid w:val="00364A75"/>
    <w:rsid w:val="00365970"/>
    <w:rsid w:val="003660BC"/>
    <w:rsid w:val="003755F2"/>
    <w:rsid w:val="00376831"/>
    <w:rsid w:val="00377E18"/>
    <w:rsid w:val="00380194"/>
    <w:rsid w:val="0038278E"/>
    <w:rsid w:val="0038735D"/>
    <w:rsid w:val="00390F34"/>
    <w:rsid w:val="00393B6A"/>
    <w:rsid w:val="003A10CA"/>
    <w:rsid w:val="003A2B5F"/>
    <w:rsid w:val="003A3A91"/>
    <w:rsid w:val="003B0390"/>
    <w:rsid w:val="003B4266"/>
    <w:rsid w:val="003B790E"/>
    <w:rsid w:val="003B7EFF"/>
    <w:rsid w:val="003C0D6C"/>
    <w:rsid w:val="003C1186"/>
    <w:rsid w:val="003C2EA9"/>
    <w:rsid w:val="003C4960"/>
    <w:rsid w:val="003D1533"/>
    <w:rsid w:val="003D3C5B"/>
    <w:rsid w:val="003D40B3"/>
    <w:rsid w:val="003D435A"/>
    <w:rsid w:val="003D4851"/>
    <w:rsid w:val="003D56F7"/>
    <w:rsid w:val="003E16A4"/>
    <w:rsid w:val="003E3D41"/>
    <w:rsid w:val="003E617E"/>
    <w:rsid w:val="003E672C"/>
    <w:rsid w:val="003F3AFC"/>
    <w:rsid w:val="004001EC"/>
    <w:rsid w:val="00404453"/>
    <w:rsid w:val="00406FBC"/>
    <w:rsid w:val="0041143F"/>
    <w:rsid w:val="00424765"/>
    <w:rsid w:val="00427D87"/>
    <w:rsid w:val="00427FB0"/>
    <w:rsid w:val="0043432A"/>
    <w:rsid w:val="00435BCC"/>
    <w:rsid w:val="00437BA0"/>
    <w:rsid w:val="0044613F"/>
    <w:rsid w:val="0045066D"/>
    <w:rsid w:val="00450FE3"/>
    <w:rsid w:val="00453B0D"/>
    <w:rsid w:val="004542F3"/>
    <w:rsid w:val="0045634C"/>
    <w:rsid w:val="0046526B"/>
    <w:rsid w:val="0048283E"/>
    <w:rsid w:val="00484503"/>
    <w:rsid w:val="00486194"/>
    <w:rsid w:val="00487596"/>
    <w:rsid w:val="00487DDE"/>
    <w:rsid w:val="004A285B"/>
    <w:rsid w:val="004A52C9"/>
    <w:rsid w:val="004B1E2F"/>
    <w:rsid w:val="004B25D8"/>
    <w:rsid w:val="004C5230"/>
    <w:rsid w:val="004C5347"/>
    <w:rsid w:val="004D6838"/>
    <w:rsid w:val="004E026C"/>
    <w:rsid w:val="004E55DD"/>
    <w:rsid w:val="004E5C22"/>
    <w:rsid w:val="004F1BAA"/>
    <w:rsid w:val="004F4641"/>
    <w:rsid w:val="004F6B01"/>
    <w:rsid w:val="0050119E"/>
    <w:rsid w:val="00502A8A"/>
    <w:rsid w:val="005036E7"/>
    <w:rsid w:val="0050387A"/>
    <w:rsid w:val="00504B5D"/>
    <w:rsid w:val="00512323"/>
    <w:rsid w:val="00513389"/>
    <w:rsid w:val="00513CE0"/>
    <w:rsid w:val="0051693F"/>
    <w:rsid w:val="005228F8"/>
    <w:rsid w:val="00530B17"/>
    <w:rsid w:val="0053162D"/>
    <w:rsid w:val="005321CF"/>
    <w:rsid w:val="00534314"/>
    <w:rsid w:val="00534B80"/>
    <w:rsid w:val="005373F3"/>
    <w:rsid w:val="00542160"/>
    <w:rsid w:val="00544877"/>
    <w:rsid w:val="00546A03"/>
    <w:rsid w:val="00550EBF"/>
    <w:rsid w:val="00551BB7"/>
    <w:rsid w:val="005529EF"/>
    <w:rsid w:val="00554341"/>
    <w:rsid w:val="00555B6C"/>
    <w:rsid w:val="00557888"/>
    <w:rsid w:val="00560273"/>
    <w:rsid w:val="00563B5A"/>
    <w:rsid w:val="00570755"/>
    <w:rsid w:val="005717A1"/>
    <w:rsid w:val="0058182D"/>
    <w:rsid w:val="00586572"/>
    <w:rsid w:val="005918A6"/>
    <w:rsid w:val="005A2058"/>
    <w:rsid w:val="005A2D7C"/>
    <w:rsid w:val="005B1DF5"/>
    <w:rsid w:val="005B28D8"/>
    <w:rsid w:val="005B2919"/>
    <w:rsid w:val="005B3756"/>
    <w:rsid w:val="005B4689"/>
    <w:rsid w:val="005B5F47"/>
    <w:rsid w:val="005C53F8"/>
    <w:rsid w:val="005C6C38"/>
    <w:rsid w:val="005C6EE4"/>
    <w:rsid w:val="005D3F44"/>
    <w:rsid w:val="005D5FA0"/>
    <w:rsid w:val="005E0610"/>
    <w:rsid w:val="005E0687"/>
    <w:rsid w:val="005E2C84"/>
    <w:rsid w:val="005F191D"/>
    <w:rsid w:val="005F211A"/>
    <w:rsid w:val="005F2D8C"/>
    <w:rsid w:val="005F5CC2"/>
    <w:rsid w:val="005F6126"/>
    <w:rsid w:val="005F7389"/>
    <w:rsid w:val="005F7AD7"/>
    <w:rsid w:val="006003D6"/>
    <w:rsid w:val="00603D8D"/>
    <w:rsid w:val="00611680"/>
    <w:rsid w:val="00611C4B"/>
    <w:rsid w:val="0061316F"/>
    <w:rsid w:val="00624084"/>
    <w:rsid w:val="00626E69"/>
    <w:rsid w:val="00630E04"/>
    <w:rsid w:val="0063593D"/>
    <w:rsid w:val="00637AB1"/>
    <w:rsid w:val="00637F3A"/>
    <w:rsid w:val="00645370"/>
    <w:rsid w:val="006460B6"/>
    <w:rsid w:val="00650EAB"/>
    <w:rsid w:val="0065172F"/>
    <w:rsid w:val="00652DB2"/>
    <w:rsid w:val="00653554"/>
    <w:rsid w:val="006559C1"/>
    <w:rsid w:val="00655A63"/>
    <w:rsid w:val="00661A65"/>
    <w:rsid w:val="00664823"/>
    <w:rsid w:val="0066660B"/>
    <w:rsid w:val="00667DC6"/>
    <w:rsid w:val="00670AEC"/>
    <w:rsid w:val="006721A3"/>
    <w:rsid w:val="006734CD"/>
    <w:rsid w:val="00687EDB"/>
    <w:rsid w:val="0069670B"/>
    <w:rsid w:val="0069771F"/>
    <w:rsid w:val="006A647E"/>
    <w:rsid w:val="006A6968"/>
    <w:rsid w:val="006B1638"/>
    <w:rsid w:val="006B7233"/>
    <w:rsid w:val="006C2E45"/>
    <w:rsid w:val="006C33CF"/>
    <w:rsid w:val="006C3910"/>
    <w:rsid w:val="006C3F11"/>
    <w:rsid w:val="006D5BFB"/>
    <w:rsid w:val="006D662B"/>
    <w:rsid w:val="006E1739"/>
    <w:rsid w:val="006E1A68"/>
    <w:rsid w:val="006E2BB5"/>
    <w:rsid w:val="006E2E88"/>
    <w:rsid w:val="006E5556"/>
    <w:rsid w:val="006F097F"/>
    <w:rsid w:val="006F18B3"/>
    <w:rsid w:val="006F1A02"/>
    <w:rsid w:val="006F38A8"/>
    <w:rsid w:val="006F3F5B"/>
    <w:rsid w:val="006F5EA1"/>
    <w:rsid w:val="006F5EF0"/>
    <w:rsid w:val="006F60B0"/>
    <w:rsid w:val="0070005E"/>
    <w:rsid w:val="00701421"/>
    <w:rsid w:val="00707806"/>
    <w:rsid w:val="007207E1"/>
    <w:rsid w:val="00721C6D"/>
    <w:rsid w:val="007252DD"/>
    <w:rsid w:val="00725BAB"/>
    <w:rsid w:val="007262A0"/>
    <w:rsid w:val="00730843"/>
    <w:rsid w:val="007312C9"/>
    <w:rsid w:val="007354D0"/>
    <w:rsid w:val="00735982"/>
    <w:rsid w:val="00735998"/>
    <w:rsid w:val="00736FFD"/>
    <w:rsid w:val="0073730A"/>
    <w:rsid w:val="0074143E"/>
    <w:rsid w:val="007470B0"/>
    <w:rsid w:val="0074728C"/>
    <w:rsid w:val="0075282A"/>
    <w:rsid w:val="00753648"/>
    <w:rsid w:val="00754521"/>
    <w:rsid w:val="00755D2F"/>
    <w:rsid w:val="00763318"/>
    <w:rsid w:val="00772BCF"/>
    <w:rsid w:val="0078006D"/>
    <w:rsid w:val="00780402"/>
    <w:rsid w:val="007817FB"/>
    <w:rsid w:val="00782E68"/>
    <w:rsid w:val="00784F90"/>
    <w:rsid w:val="0079239C"/>
    <w:rsid w:val="007946B0"/>
    <w:rsid w:val="007A41FB"/>
    <w:rsid w:val="007A6968"/>
    <w:rsid w:val="007B1832"/>
    <w:rsid w:val="007C26A4"/>
    <w:rsid w:val="007D1ABD"/>
    <w:rsid w:val="007D661B"/>
    <w:rsid w:val="007D785F"/>
    <w:rsid w:val="007D7CC2"/>
    <w:rsid w:val="007E559B"/>
    <w:rsid w:val="007E5952"/>
    <w:rsid w:val="007E6A05"/>
    <w:rsid w:val="00801555"/>
    <w:rsid w:val="00806E9A"/>
    <w:rsid w:val="00807E92"/>
    <w:rsid w:val="008127B3"/>
    <w:rsid w:val="0081284E"/>
    <w:rsid w:val="00820441"/>
    <w:rsid w:val="00821B24"/>
    <w:rsid w:val="008226FE"/>
    <w:rsid w:val="00826DE5"/>
    <w:rsid w:val="008275FF"/>
    <w:rsid w:val="0083120D"/>
    <w:rsid w:val="00834CC7"/>
    <w:rsid w:val="00835635"/>
    <w:rsid w:val="00837914"/>
    <w:rsid w:val="00844B68"/>
    <w:rsid w:val="00845311"/>
    <w:rsid w:val="00845BBB"/>
    <w:rsid w:val="008466E7"/>
    <w:rsid w:val="00846A0B"/>
    <w:rsid w:val="0085091A"/>
    <w:rsid w:val="008522AB"/>
    <w:rsid w:val="008537EF"/>
    <w:rsid w:val="0085519F"/>
    <w:rsid w:val="0086112E"/>
    <w:rsid w:val="00861F3C"/>
    <w:rsid w:val="00866D33"/>
    <w:rsid w:val="00870643"/>
    <w:rsid w:val="00872011"/>
    <w:rsid w:val="00873D97"/>
    <w:rsid w:val="008757A9"/>
    <w:rsid w:val="00876071"/>
    <w:rsid w:val="00876383"/>
    <w:rsid w:val="00876FF4"/>
    <w:rsid w:val="00882099"/>
    <w:rsid w:val="00884419"/>
    <w:rsid w:val="00886D27"/>
    <w:rsid w:val="008871C6"/>
    <w:rsid w:val="00887B6E"/>
    <w:rsid w:val="00895BAC"/>
    <w:rsid w:val="008A77C8"/>
    <w:rsid w:val="008A7A87"/>
    <w:rsid w:val="008A7FC2"/>
    <w:rsid w:val="008B09FE"/>
    <w:rsid w:val="008B13ED"/>
    <w:rsid w:val="008B3E15"/>
    <w:rsid w:val="008B76FB"/>
    <w:rsid w:val="008B7738"/>
    <w:rsid w:val="008C1A02"/>
    <w:rsid w:val="008C35E8"/>
    <w:rsid w:val="008C45A9"/>
    <w:rsid w:val="008C5D88"/>
    <w:rsid w:val="008D4CA8"/>
    <w:rsid w:val="008D59BD"/>
    <w:rsid w:val="008E3549"/>
    <w:rsid w:val="008F0EE5"/>
    <w:rsid w:val="008F7D3F"/>
    <w:rsid w:val="009000F4"/>
    <w:rsid w:val="00901248"/>
    <w:rsid w:val="00903E0D"/>
    <w:rsid w:val="009103D9"/>
    <w:rsid w:val="009126B9"/>
    <w:rsid w:val="00917508"/>
    <w:rsid w:val="00921F40"/>
    <w:rsid w:val="00923885"/>
    <w:rsid w:val="009240AC"/>
    <w:rsid w:val="009266EA"/>
    <w:rsid w:val="009276D6"/>
    <w:rsid w:val="00933EA5"/>
    <w:rsid w:val="00933FE4"/>
    <w:rsid w:val="00937F9C"/>
    <w:rsid w:val="00945162"/>
    <w:rsid w:val="00945D9E"/>
    <w:rsid w:val="009467BF"/>
    <w:rsid w:val="00950479"/>
    <w:rsid w:val="00957793"/>
    <w:rsid w:val="009634D7"/>
    <w:rsid w:val="00967A6B"/>
    <w:rsid w:val="0098170E"/>
    <w:rsid w:val="00985588"/>
    <w:rsid w:val="00991631"/>
    <w:rsid w:val="00991883"/>
    <w:rsid w:val="00992976"/>
    <w:rsid w:val="009A28A3"/>
    <w:rsid w:val="009A3183"/>
    <w:rsid w:val="009A528E"/>
    <w:rsid w:val="009A65A7"/>
    <w:rsid w:val="009B0920"/>
    <w:rsid w:val="009B458C"/>
    <w:rsid w:val="009B5BB4"/>
    <w:rsid w:val="009B5EC8"/>
    <w:rsid w:val="009C035B"/>
    <w:rsid w:val="009C04CB"/>
    <w:rsid w:val="009C3EA6"/>
    <w:rsid w:val="009C41B5"/>
    <w:rsid w:val="009C575C"/>
    <w:rsid w:val="009D0DF8"/>
    <w:rsid w:val="009D19AD"/>
    <w:rsid w:val="009D357D"/>
    <w:rsid w:val="009D3D41"/>
    <w:rsid w:val="009E0264"/>
    <w:rsid w:val="009E056B"/>
    <w:rsid w:val="009E3ACA"/>
    <w:rsid w:val="009F00C9"/>
    <w:rsid w:val="009F1FC6"/>
    <w:rsid w:val="009F3138"/>
    <w:rsid w:val="009F6BAB"/>
    <w:rsid w:val="00A01177"/>
    <w:rsid w:val="00A02CFD"/>
    <w:rsid w:val="00A032F2"/>
    <w:rsid w:val="00A043A5"/>
    <w:rsid w:val="00A147EA"/>
    <w:rsid w:val="00A1542A"/>
    <w:rsid w:val="00A21689"/>
    <w:rsid w:val="00A263B0"/>
    <w:rsid w:val="00A30747"/>
    <w:rsid w:val="00A37054"/>
    <w:rsid w:val="00A447D1"/>
    <w:rsid w:val="00A44CAF"/>
    <w:rsid w:val="00A46DBF"/>
    <w:rsid w:val="00A47CC6"/>
    <w:rsid w:val="00A5087D"/>
    <w:rsid w:val="00A51EDB"/>
    <w:rsid w:val="00A52C6E"/>
    <w:rsid w:val="00A56E93"/>
    <w:rsid w:val="00A56E97"/>
    <w:rsid w:val="00A57214"/>
    <w:rsid w:val="00A60521"/>
    <w:rsid w:val="00A7362F"/>
    <w:rsid w:val="00A8119F"/>
    <w:rsid w:val="00A8404F"/>
    <w:rsid w:val="00A8563C"/>
    <w:rsid w:val="00A86130"/>
    <w:rsid w:val="00A90E19"/>
    <w:rsid w:val="00A9156E"/>
    <w:rsid w:val="00A92276"/>
    <w:rsid w:val="00A93F72"/>
    <w:rsid w:val="00A94937"/>
    <w:rsid w:val="00A97081"/>
    <w:rsid w:val="00AA2348"/>
    <w:rsid w:val="00AA267D"/>
    <w:rsid w:val="00AA2F41"/>
    <w:rsid w:val="00AB04E0"/>
    <w:rsid w:val="00AB6C8C"/>
    <w:rsid w:val="00AC258B"/>
    <w:rsid w:val="00AC538D"/>
    <w:rsid w:val="00AD024E"/>
    <w:rsid w:val="00AD0B73"/>
    <w:rsid w:val="00AD1569"/>
    <w:rsid w:val="00AD171C"/>
    <w:rsid w:val="00AD2A6E"/>
    <w:rsid w:val="00AD5DE2"/>
    <w:rsid w:val="00AD6794"/>
    <w:rsid w:val="00AD7207"/>
    <w:rsid w:val="00AE0262"/>
    <w:rsid w:val="00AE37F4"/>
    <w:rsid w:val="00AE4B6B"/>
    <w:rsid w:val="00AE4B70"/>
    <w:rsid w:val="00AF0C67"/>
    <w:rsid w:val="00AF4161"/>
    <w:rsid w:val="00AF4B6A"/>
    <w:rsid w:val="00B03A2E"/>
    <w:rsid w:val="00B04C40"/>
    <w:rsid w:val="00B079BF"/>
    <w:rsid w:val="00B07AED"/>
    <w:rsid w:val="00B10A7C"/>
    <w:rsid w:val="00B21D59"/>
    <w:rsid w:val="00B22DA1"/>
    <w:rsid w:val="00B253D7"/>
    <w:rsid w:val="00B26EFB"/>
    <w:rsid w:val="00B32BA1"/>
    <w:rsid w:val="00B34ED7"/>
    <w:rsid w:val="00B351D8"/>
    <w:rsid w:val="00B41A36"/>
    <w:rsid w:val="00B41E80"/>
    <w:rsid w:val="00B43AA3"/>
    <w:rsid w:val="00B469B6"/>
    <w:rsid w:val="00B52AD9"/>
    <w:rsid w:val="00B56CB0"/>
    <w:rsid w:val="00B57376"/>
    <w:rsid w:val="00B574D1"/>
    <w:rsid w:val="00B6035E"/>
    <w:rsid w:val="00B63113"/>
    <w:rsid w:val="00B63D3F"/>
    <w:rsid w:val="00B651AA"/>
    <w:rsid w:val="00B65D81"/>
    <w:rsid w:val="00B66851"/>
    <w:rsid w:val="00B70D0C"/>
    <w:rsid w:val="00B76CFF"/>
    <w:rsid w:val="00B7763D"/>
    <w:rsid w:val="00B77CA8"/>
    <w:rsid w:val="00B80EFF"/>
    <w:rsid w:val="00B84792"/>
    <w:rsid w:val="00B84919"/>
    <w:rsid w:val="00B8713E"/>
    <w:rsid w:val="00B874E7"/>
    <w:rsid w:val="00BA1979"/>
    <w:rsid w:val="00BA19CB"/>
    <w:rsid w:val="00BA459C"/>
    <w:rsid w:val="00BA4601"/>
    <w:rsid w:val="00BB20FB"/>
    <w:rsid w:val="00BB2C38"/>
    <w:rsid w:val="00BB3284"/>
    <w:rsid w:val="00BB793A"/>
    <w:rsid w:val="00BC01A6"/>
    <w:rsid w:val="00BC021A"/>
    <w:rsid w:val="00BC122B"/>
    <w:rsid w:val="00BC1FA4"/>
    <w:rsid w:val="00BC5FBE"/>
    <w:rsid w:val="00BD1A44"/>
    <w:rsid w:val="00BD3FE8"/>
    <w:rsid w:val="00BD7FD5"/>
    <w:rsid w:val="00BE0F16"/>
    <w:rsid w:val="00BE10E3"/>
    <w:rsid w:val="00BE7DD5"/>
    <w:rsid w:val="00BF70B7"/>
    <w:rsid w:val="00C00A1E"/>
    <w:rsid w:val="00C024E4"/>
    <w:rsid w:val="00C0394F"/>
    <w:rsid w:val="00C03A64"/>
    <w:rsid w:val="00C03AA7"/>
    <w:rsid w:val="00C129AA"/>
    <w:rsid w:val="00C13174"/>
    <w:rsid w:val="00C1474A"/>
    <w:rsid w:val="00C15B64"/>
    <w:rsid w:val="00C26731"/>
    <w:rsid w:val="00C2785D"/>
    <w:rsid w:val="00C338AF"/>
    <w:rsid w:val="00C378CB"/>
    <w:rsid w:val="00C404FF"/>
    <w:rsid w:val="00C415F3"/>
    <w:rsid w:val="00C472F2"/>
    <w:rsid w:val="00C5284D"/>
    <w:rsid w:val="00C54B8C"/>
    <w:rsid w:val="00C55E4B"/>
    <w:rsid w:val="00C57ED4"/>
    <w:rsid w:val="00C61FAB"/>
    <w:rsid w:val="00C628FF"/>
    <w:rsid w:val="00C62C5D"/>
    <w:rsid w:val="00C63382"/>
    <w:rsid w:val="00C6341C"/>
    <w:rsid w:val="00C66A02"/>
    <w:rsid w:val="00C7269D"/>
    <w:rsid w:val="00C8010F"/>
    <w:rsid w:val="00C801A0"/>
    <w:rsid w:val="00C832D4"/>
    <w:rsid w:val="00C83B8A"/>
    <w:rsid w:val="00C87CE4"/>
    <w:rsid w:val="00C91ADE"/>
    <w:rsid w:val="00C95E88"/>
    <w:rsid w:val="00C96585"/>
    <w:rsid w:val="00CA156A"/>
    <w:rsid w:val="00CA33E0"/>
    <w:rsid w:val="00CA470A"/>
    <w:rsid w:val="00CA53D9"/>
    <w:rsid w:val="00CA672C"/>
    <w:rsid w:val="00CB5017"/>
    <w:rsid w:val="00CB54BA"/>
    <w:rsid w:val="00CB5578"/>
    <w:rsid w:val="00CB646F"/>
    <w:rsid w:val="00CC608C"/>
    <w:rsid w:val="00CD1B8C"/>
    <w:rsid w:val="00CD3677"/>
    <w:rsid w:val="00CD4AE1"/>
    <w:rsid w:val="00CF0E63"/>
    <w:rsid w:val="00CF158A"/>
    <w:rsid w:val="00CF1FCA"/>
    <w:rsid w:val="00CF2744"/>
    <w:rsid w:val="00CF2782"/>
    <w:rsid w:val="00CF3F30"/>
    <w:rsid w:val="00CF533B"/>
    <w:rsid w:val="00CF55AF"/>
    <w:rsid w:val="00D015E8"/>
    <w:rsid w:val="00D0250C"/>
    <w:rsid w:val="00D0583C"/>
    <w:rsid w:val="00D1355A"/>
    <w:rsid w:val="00D20908"/>
    <w:rsid w:val="00D311F6"/>
    <w:rsid w:val="00D31E1C"/>
    <w:rsid w:val="00D33EFA"/>
    <w:rsid w:val="00D34026"/>
    <w:rsid w:val="00D348E0"/>
    <w:rsid w:val="00D3492B"/>
    <w:rsid w:val="00D35CF7"/>
    <w:rsid w:val="00D36A11"/>
    <w:rsid w:val="00D40AC0"/>
    <w:rsid w:val="00D40C44"/>
    <w:rsid w:val="00D427DD"/>
    <w:rsid w:val="00D43405"/>
    <w:rsid w:val="00D43EB4"/>
    <w:rsid w:val="00D45711"/>
    <w:rsid w:val="00D5048B"/>
    <w:rsid w:val="00D51F4B"/>
    <w:rsid w:val="00D52CCA"/>
    <w:rsid w:val="00D55C7D"/>
    <w:rsid w:val="00D74FA5"/>
    <w:rsid w:val="00D77198"/>
    <w:rsid w:val="00D823F6"/>
    <w:rsid w:val="00D85819"/>
    <w:rsid w:val="00D86627"/>
    <w:rsid w:val="00D87432"/>
    <w:rsid w:val="00D9092A"/>
    <w:rsid w:val="00D91249"/>
    <w:rsid w:val="00D9175B"/>
    <w:rsid w:val="00D9293B"/>
    <w:rsid w:val="00D972D6"/>
    <w:rsid w:val="00D97AA5"/>
    <w:rsid w:val="00DA1012"/>
    <w:rsid w:val="00DA318C"/>
    <w:rsid w:val="00DA54FC"/>
    <w:rsid w:val="00DB1A37"/>
    <w:rsid w:val="00DB345A"/>
    <w:rsid w:val="00DC0C91"/>
    <w:rsid w:val="00DC28CB"/>
    <w:rsid w:val="00DC3157"/>
    <w:rsid w:val="00DC499D"/>
    <w:rsid w:val="00DD135D"/>
    <w:rsid w:val="00DD16C5"/>
    <w:rsid w:val="00DD402B"/>
    <w:rsid w:val="00DD68BC"/>
    <w:rsid w:val="00DD6A06"/>
    <w:rsid w:val="00DD718C"/>
    <w:rsid w:val="00DE22B2"/>
    <w:rsid w:val="00DE2690"/>
    <w:rsid w:val="00DE6838"/>
    <w:rsid w:val="00DF00ED"/>
    <w:rsid w:val="00DF21E1"/>
    <w:rsid w:val="00DF2DF5"/>
    <w:rsid w:val="00DF66BA"/>
    <w:rsid w:val="00E078C5"/>
    <w:rsid w:val="00E1073B"/>
    <w:rsid w:val="00E14E59"/>
    <w:rsid w:val="00E36D4C"/>
    <w:rsid w:val="00E41E60"/>
    <w:rsid w:val="00E51294"/>
    <w:rsid w:val="00E53A0B"/>
    <w:rsid w:val="00E54B5A"/>
    <w:rsid w:val="00E573F7"/>
    <w:rsid w:val="00E600A3"/>
    <w:rsid w:val="00E6012C"/>
    <w:rsid w:val="00E64563"/>
    <w:rsid w:val="00E66251"/>
    <w:rsid w:val="00E73E10"/>
    <w:rsid w:val="00E76D18"/>
    <w:rsid w:val="00E819BB"/>
    <w:rsid w:val="00E82F0B"/>
    <w:rsid w:val="00E87A3C"/>
    <w:rsid w:val="00E87A77"/>
    <w:rsid w:val="00E90DA9"/>
    <w:rsid w:val="00E94CAF"/>
    <w:rsid w:val="00E95A2F"/>
    <w:rsid w:val="00E96ADC"/>
    <w:rsid w:val="00EA3C09"/>
    <w:rsid w:val="00EA4A36"/>
    <w:rsid w:val="00EA6376"/>
    <w:rsid w:val="00EA6D4E"/>
    <w:rsid w:val="00EB0D40"/>
    <w:rsid w:val="00EB2277"/>
    <w:rsid w:val="00EB3FB9"/>
    <w:rsid w:val="00EB4389"/>
    <w:rsid w:val="00EB6C23"/>
    <w:rsid w:val="00EC19D8"/>
    <w:rsid w:val="00EC2628"/>
    <w:rsid w:val="00EC2A1C"/>
    <w:rsid w:val="00EC6BE0"/>
    <w:rsid w:val="00ED15B1"/>
    <w:rsid w:val="00ED3078"/>
    <w:rsid w:val="00ED7045"/>
    <w:rsid w:val="00EE3E0B"/>
    <w:rsid w:val="00EF211C"/>
    <w:rsid w:val="00EF42B7"/>
    <w:rsid w:val="00EF45D5"/>
    <w:rsid w:val="00EF6571"/>
    <w:rsid w:val="00EF79DB"/>
    <w:rsid w:val="00F0050C"/>
    <w:rsid w:val="00F00FCD"/>
    <w:rsid w:val="00F01972"/>
    <w:rsid w:val="00F02832"/>
    <w:rsid w:val="00F030F8"/>
    <w:rsid w:val="00F06FDE"/>
    <w:rsid w:val="00F14351"/>
    <w:rsid w:val="00F14455"/>
    <w:rsid w:val="00F3111D"/>
    <w:rsid w:val="00F34A3A"/>
    <w:rsid w:val="00F41D7E"/>
    <w:rsid w:val="00F42714"/>
    <w:rsid w:val="00F4334A"/>
    <w:rsid w:val="00F43473"/>
    <w:rsid w:val="00F4614C"/>
    <w:rsid w:val="00F470C3"/>
    <w:rsid w:val="00F53B43"/>
    <w:rsid w:val="00F545C4"/>
    <w:rsid w:val="00F5626D"/>
    <w:rsid w:val="00F60B5E"/>
    <w:rsid w:val="00F61948"/>
    <w:rsid w:val="00F61AF9"/>
    <w:rsid w:val="00F62732"/>
    <w:rsid w:val="00F6523D"/>
    <w:rsid w:val="00F66BA7"/>
    <w:rsid w:val="00F67260"/>
    <w:rsid w:val="00F72EEC"/>
    <w:rsid w:val="00F74FC1"/>
    <w:rsid w:val="00F74FE2"/>
    <w:rsid w:val="00F7652E"/>
    <w:rsid w:val="00F765D8"/>
    <w:rsid w:val="00F7698F"/>
    <w:rsid w:val="00F81EA2"/>
    <w:rsid w:val="00F86213"/>
    <w:rsid w:val="00F91BF0"/>
    <w:rsid w:val="00F9698E"/>
    <w:rsid w:val="00FA5AEE"/>
    <w:rsid w:val="00FA5F35"/>
    <w:rsid w:val="00FB5770"/>
    <w:rsid w:val="00FB7D33"/>
    <w:rsid w:val="00FC02EA"/>
    <w:rsid w:val="00FC4821"/>
    <w:rsid w:val="00FD0E0B"/>
    <w:rsid w:val="00FD5049"/>
    <w:rsid w:val="00FD77C2"/>
    <w:rsid w:val="00FE372F"/>
    <w:rsid w:val="00FE7691"/>
    <w:rsid w:val="00FF3E08"/>
    <w:rsid w:val="00FF5B92"/>
    <w:rsid w:val="00FF7D99"/>
    <w:rsid w:val="09127421"/>
    <w:rsid w:val="19FD663B"/>
    <w:rsid w:val="3CCE00B1"/>
    <w:rsid w:val="415539DE"/>
    <w:rsid w:val="50662A9F"/>
    <w:rsid w:val="7B22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5"/>
    <w:semiHidden/>
    <w:unhideWhenUsed/>
    <w:uiPriority w:val="99"/>
    <w:rPr>
      <w:b/>
      <w:bCs/>
    </w:rPr>
  </w:style>
  <w:style w:type="paragraph" w:styleId="3">
    <w:name w:val="annotation text"/>
    <w:basedOn w:val="1"/>
    <w:link w:val="24"/>
    <w:semiHidden/>
    <w:unhideWhenUsed/>
    <w:uiPriority w:val="99"/>
    <w:pPr>
      <w:jc w:val="left"/>
    </w:p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endnote text"/>
    <w:basedOn w:val="1"/>
    <w:link w:val="22"/>
    <w:unhideWhenUsed/>
    <w:qFormat/>
    <w:uiPriority w:val="99"/>
    <w:pPr>
      <w:snapToGrid w:val="0"/>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footnote text"/>
    <w:basedOn w:val="1"/>
    <w:link w:val="23"/>
    <w:semiHidden/>
    <w:unhideWhenUsed/>
    <w:qFormat/>
    <w:uiPriority w:val="99"/>
    <w:pPr>
      <w:snapToGrid w:val="0"/>
      <w:jc w:val="left"/>
    </w:pPr>
    <w:rPr>
      <w:sz w:val="18"/>
      <w:szCs w:val="18"/>
    </w:rPr>
  </w:style>
  <w:style w:type="character" w:styleId="11">
    <w:name w:val="endnote reference"/>
    <w:basedOn w:val="10"/>
    <w:semiHidden/>
    <w:unhideWhenUsed/>
    <w:qFormat/>
    <w:uiPriority w:val="99"/>
    <w:rPr>
      <w:vertAlign w:val="superscript"/>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styleId="14">
    <w:name w:val="footnote reference"/>
    <w:basedOn w:val="10"/>
    <w:semiHidden/>
    <w:unhideWhenUsed/>
    <w:qFormat/>
    <w:uiPriority w:val="99"/>
    <w:rPr>
      <w:vertAlign w:val="superscript"/>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0"/>
    <w:link w:val="8"/>
    <w:qFormat/>
    <w:uiPriority w:val="99"/>
    <w:rPr>
      <w:sz w:val="18"/>
      <w:szCs w:val="18"/>
    </w:rPr>
  </w:style>
  <w:style w:type="character" w:customStyle="1" w:styleId="18">
    <w:name w:val="页脚 字符"/>
    <w:basedOn w:val="10"/>
    <w:link w:val="7"/>
    <w:uiPriority w:val="99"/>
    <w:rPr>
      <w:sz w:val="18"/>
      <w:szCs w:val="18"/>
    </w:rPr>
  </w:style>
  <w:style w:type="paragraph" w:styleId="19">
    <w:name w:val="List Paragraph"/>
    <w:basedOn w:val="1"/>
    <w:qFormat/>
    <w:uiPriority w:val="34"/>
    <w:pPr>
      <w:ind w:firstLine="420" w:firstLineChars="200"/>
    </w:pPr>
  </w:style>
  <w:style w:type="paragraph" w:customStyle="1" w:styleId="20">
    <w:name w:val="f14"/>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批注框文本 字符"/>
    <w:basedOn w:val="10"/>
    <w:link w:val="6"/>
    <w:semiHidden/>
    <w:qFormat/>
    <w:uiPriority w:val="99"/>
    <w:rPr>
      <w:rFonts w:ascii="Times New Roman" w:hAnsi="Times New Roman" w:eastAsia="宋体" w:cs="Times New Roman"/>
      <w:sz w:val="18"/>
      <w:szCs w:val="18"/>
    </w:rPr>
  </w:style>
  <w:style w:type="character" w:customStyle="1" w:styleId="22">
    <w:name w:val="尾注文本 字符"/>
    <w:basedOn w:val="10"/>
    <w:link w:val="5"/>
    <w:qFormat/>
    <w:uiPriority w:val="99"/>
    <w:rPr>
      <w:rFonts w:ascii="Times New Roman" w:hAnsi="Times New Roman" w:eastAsia="宋体" w:cs="Times New Roman"/>
      <w:szCs w:val="24"/>
    </w:rPr>
  </w:style>
  <w:style w:type="character" w:customStyle="1" w:styleId="23">
    <w:name w:val="脚注文本 字符"/>
    <w:basedOn w:val="10"/>
    <w:link w:val="9"/>
    <w:semiHidden/>
    <w:uiPriority w:val="99"/>
    <w:rPr>
      <w:rFonts w:ascii="Times New Roman" w:hAnsi="Times New Roman" w:eastAsia="宋体" w:cs="Times New Roman"/>
      <w:sz w:val="18"/>
      <w:szCs w:val="18"/>
    </w:rPr>
  </w:style>
  <w:style w:type="character" w:customStyle="1" w:styleId="24">
    <w:name w:val="批注文字 字符"/>
    <w:basedOn w:val="10"/>
    <w:link w:val="3"/>
    <w:semiHidden/>
    <w:qFormat/>
    <w:uiPriority w:val="99"/>
    <w:rPr>
      <w:rFonts w:ascii="Times New Roman" w:hAnsi="Times New Roman" w:eastAsia="宋体" w:cs="Times New Roman"/>
      <w:szCs w:val="24"/>
    </w:rPr>
  </w:style>
  <w:style w:type="character" w:customStyle="1" w:styleId="25">
    <w:name w:val="批注主题 字符"/>
    <w:basedOn w:val="24"/>
    <w:link w:val="2"/>
    <w:semiHidden/>
    <w:uiPriority w:val="99"/>
    <w:rPr>
      <w:rFonts w:ascii="Times New Roman" w:hAnsi="Times New Roman" w:eastAsia="宋体" w:cs="Times New Roman"/>
      <w:b/>
      <w:bCs/>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hart" Target="charts/chart1.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fontTable" Target="fontTable.xml"/>
</Relationships>

</file>

<file path=word/charts/_rels/chart1.xml.rels><?xml version="1.0" encoding="UTF-8"?>

<Relationships xmlns="http://schemas.openxmlformats.org/package/2006/relationships">
  <Relationship Id="rId1" Type="http://schemas.openxmlformats.org/officeDocument/2006/relationships/package" Target="../embeddings/Workbook1.xlsx"/>
  <Relationship Id="rId2" Type="http://schemas.microsoft.com/office/2011/relationships/chartStyle" Target="style1.xml"/>
  <Relationship Id="rId3" Type="http://schemas.microsoft.com/office/2011/relationships/chartColorStyle" Target="colors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独立提出见解能力</c:v>
                </c:pt>
                <c:pt idx="1">
                  <c:v>语言能力</c:v>
                </c:pt>
                <c:pt idx="2">
                  <c:v>相关专业背景能力</c:v>
                </c:pt>
                <c:pt idx="3">
                  <c:v>分析问题能力</c:v>
                </c:pt>
                <c:pt idx="4">
                  <c:v>自主学习能力</c:v>
                </c:pt>
              </c:strCache>
            </c:strRef>
          </c:cat>
          <c:val>
            <c:numRef>
              <c:f>Sheet1!$B$2:$B$6</c:f>
              <c:numCache>
                <c:formatCode>General</c:formatCode>
                <c:ptCount val="5"/>
                <c:pt idx="0">
                  <c:v>1</c:v>
                </c:pt>
                <c:pt idx="1">
                  <c:v>17</c:v>
                </c:pt>
                <c:pt idx="2">
                  <c:v>44</c:v>
                </c:pt>
                <c:pt idx="3">
                  <c:v>9</c:v>
                </c:pt>
                <c:pt idx="4">
                  <c:v>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67E16-79C5-4DD3-A0A9-782D391E286B}">
  <ds:schemaRefs/>
</ds:datastoreItem>
</file>

<file path=docProps/app.xml><?xml version="1.0" encoding="utf-8"?>
<Properties xmlns="http://schemas.openxmlformats.org/officeDocument/2006/extended-properties" xmlns:vt="http://schemas.openxmlformats.org/officeDocument/2006/docPropsVTypes">
  <Template>Normal</Template>
  <Pages>9</Pages>
  <Words>1334</Words>
  <Characters>7610</Characters>
  <Lines>63</Lines>
  <Paragraphs>17</Paragraphs>
  <TotalTime>96</TotalTime>
  <ScaleCrop>false</ScaleCrop>
  <LinksUpToDate>false</LinksUpToDate>
  <CharactersWithSpaces>8927</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2018-08-20T03:26:00Z</dcterms:created>
  <dc:creator>lisazheng</dc:creator>
  <lastModifiedBy>HC</lastModifiedBy>
  <dcterms:modified xsi:type="dcterms:W3CDTF">2019-01-15T06:52:20Z</dcterms:modified>
  <revision>151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