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r>
        <w:rPr>
          <w:rFonts w:hint="eastAsia" w:ascii="黑体" w:hAnsi="黑体" w:eastAsia="黑体"/>
          <w:b/>
          <w:sz w:val="32"/>
          <w:szCs w:val="32"/>
        </w:rPr>
        <w:t>基于提高单词朗读及记忆准确率的</w:t>
      </w:r>
    </w:p>
    <w:p>
      <w:pPr>
        <w:spacing w:after="0" w:line="400" w:lineRule="exact"/>
        <w:jc w:val="center"/>
        <w:rPr>
          <w:rFonts w:ascii="黑体" w:hAnsi="黑体" w:eastAsia="黑体"/>
          <w:b/>
          <w:sz w:val="32"/>
          <w:szCs w:val="32"/>
        </w:rPr>
      </w:pPr>
      <w:r>
        <w:rPr>
          <w:rFonts w:hint="eastAsia" w:ascii="黑体" w:hAnsi="黑体" w:eastAsia="黑体"/>
          <w:b/>
          <w:sz w:val="32"/>
          <w:szCs w:val="32"/>
        </w:rPr>
        <w:t>英语词汇教学行动研究</w:t>
      </w:r>
    </w:p>
    <w:p>
      <w:pPr>
        <w:spacing w:after="0" w:line="4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任玉霞</w:t>
      </w:r>
      <w:r>
        <w:rPr>
          <w:rStyle w:val="17"/>
          <w:rFonts w:hint="eastAsia" w:asciiTheme="majorEastAsia" w:hAnsiTheme="majorEastAsia" w:eastAsiaTheme="majorEastAsia"/>
          <w:sz w:val="21"/>
          <w:szCs w:val="21"/>
        </w:rPr>
        <w:footnoteReference w:id="0"/>
      </w:r>
    </w:p>
    <w:p>
      <w:pPr>
        <w:spacing w:after="0" w:line="4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（北京城市学院教育学部,</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北京 101309）</w:t>
      </w:r>
    </w:p>
    <w:p>
      <w:pPr>
        <w:spacing w:after="0" w:line="400" w:lineRule="exact"/>
        <w:rPr>
          <w:rFonts w:asciiTheme="majorEastAsia" w:hAnsiTheme="majorEastAsia" w:eastAsiaTheme="majorEastAsia"/>
          <w:sz w:val="21"/>
          <w:szCs w:val="21"/>
        </w:rPr>
      </w:pPr>
      <w:r>
        <w:rPr>
          <w:rFonts w:hint="eastAsia" w:asciiTheme="majorEastAsia" w:hAnsiTheme="majorEastAsia" w:eastAsiaTheme="majorEastAsia"/>
          <w:b/>
          <w:sz w:val="21"/>
          <w:szCs w:val="21"/>
        </w:rPr>
        <w:t>摘要：</w:t>
      </w:r>
      <w:r>
        <w:rPr>
          <w:rFonts w:hint="eastAsia" w:asciiTheme="majorEastAsia" w:hAnsiTheme="majorEastAsia" w:eastAsiaTheme="majorEastAsia"/>
          <w:sz w:val="21"/>
          <w:szCs w:val="21"/>
        </w:rPr>
        <w:t>“七年贯通制”学生基础阶段高二年级的学生在英语学习方面存在单词朗读和记忆准确率低的问题。针对这一问题，文章提出了一系列的改进策略，如将“自然拼读法”融入平时的课堂教学，引导学生掌握各种记忆策略，强化单词朗读和拼写训练，加强词汇语境运用训练等，并就这些改进策略进行了两轮的行动研究。研究结果表明，自然拼读法有助于学生掌握拼读规则，有助于提高其朗读单词的准确率，而单词朗读准确率的提高以及记忆策略的辅助使用有助于学生提高单词记忆的准确率。</w:t>
      </w:r>
    </w:p>
    <w:p>
      <w:pPr>
        <w:spacing w:after="0" w:line="400" w:lineRule="exact"/>
        <w:rPr>
          <w:rFonts w:asciiTheme="majorEastAsia" w:hAnsiTheme="majorEastAsia" w:eastAsiaTheme="majorEastAsia"/>
          <w:sz w:val="21"/>
          <w:szCs w:val="21"/>
        </w:rPr>
      </w:pPr>
      <w:r>
        <w:rPr>
          <w:rFonts w:hint="eastAsia" w:asciiTheme="majorEastAsia" w:hAnsiTheme="majorEastAsia" w:eastAsiaTheme="majorEastAsia"/>
          <w:b/>
          <w:sz w:val="21"/>
          <w:szCs w:val="21"/>
        </w:rPr>
        <w:t>关键词：</w:t>
      </w:r>
      <w:r>
        <w:rPr>
          <w:rFonts w:hint="eastAsia" w:asciiTheme="majorEastAsia" w:hAnsiTheme="majorEastAsia" w:eastAsiaTheme="majorEastAsia"/>
          <w:sz w:val="21"/>
          <w:szCs w:val="21"/>
        </w:rPr>
        <w:t>英语词汇；朗读；记忆；自然拼读；行动研究</w:t>
      </w:r>
    </w:p>
    <w:p>
      <w:pPr>
        <w:spacing w:line="400" w:lineRule="exact"/>
        <w:rPr>
          <w:rFonts w:asciiTheme="majorEastAsia" w:hAnsiTheme="majorEastAsia" w:eastAsiaTheme="majorEastAsia"/>
          <w:sz w:val="21"/>
          <w:szCs w:val="21"/>
        </w:rPr>
      </w:pPr>
      <w:r>
        <w:rPr>
          <w:rFonts w:hint="eastAsia" w:asciiTheme="majorEastAsia" w:hAnsiTheme="majorEastAsia" w:eastAsiaTheme="majorEastAsia"/>
          <w:b/>
          <w:sz w:val="21"/>
          <w:szCs w:val="21"/>
        </w:rPr>
        <w:t>中图分类号:</w:t>
      </w:r>
      <w:r>
        <w:rPr>
          <w:rFonts w:hint="eastAsia" w:asciiTheme="majorEastAsia" w:hAnsiTheme="majorEastAsia" w:eastAsiaTheme="majorEastAsia"/>
          <w:sz w:val="21"/>
          <w:szCs w:val="21"/>
        </w:rPr>
        <w:t>H319.1</w:t>
      </w:r>
      <w:r>
        <w:rPr>
          <w:rFonts w:asciiTheme="majorEastAsia" w:hAnsiTheme="majorEastAsia" w:eastAsiaTheme="majorEastAsia"/>
          <w:sz w:val="21"/>
          <w:szCs w:val="21"/>
        </w:rPr>
        <w:t xml:space="preserve">    </w:t>
      </w:r>
      <w:r>
        <w:rPr>
          <w:rFonts w:hint="eastAsia" w:asciiTheme="majorEastAsia" w:hAnsiTheme="majorEastAsia" w:eastAsiaTheme="majorEastAsia"/>
          <w:b/>
          <w:sz w:val="21"/>
          <w:szCs w:val="21"/>
        </w:rPr>
        <w:t>文献标识码</w:t>
      </w:r>
      <w:r>
        <w:rPr>
          <w:rFonts w:asciiTheme="majorEastAsia" w:hAnsiTheme="majorEastAsia" w:eastAsiaTheme="majorEastAsia"/>
          <w:sz w:val="21"/>
          <w:szCs w:val="21"/>
        </w:rPr>
        <w:t>:</w:t>
      </w:r>
      <w:r>
        <w:rPr>
          <w:rFonts w:hint="eastAsia" w:asciiTheme="majorEastAsia" w:hAnsiTheme="majorEastAsia" w:eastAsiaTheme="majorEastAsia"/>
          <w:sz w:val="21"/>
          <w:szCs w:val="21"/>
        </w:rPr>
        <w:t>A</w:t>
      </w:r>
    </w:p>
    <w:p>
      <w:pPr>
        <w:spacing w:after="0" w:line="400" w:lineRule="exact"/>
        <w:ind w:firstLine="482" w:firstLineChars="200"/>
        <w:rPr>
          <w:rFonts w:ascii="Times New Roman" w:hAnsi="Times New Roman" w:cs="Times New Roman" w:eastAsiaTheme="majorEastAsia"/>
          <w:sz w:val="24"/>
          <w:szCs w:val="24"/>
        </w:rPr>
      </w:pPr>
      <w:r>
        <w:rPr>
          <w:rFonts w:ascii="Times New Roman" w:hAnsi="Times New Roman" w:cs="Times New Roman" w:eastAsiaTheme="majorEastAsia"/>
          <w:b/>
          <w:sz w:val="24"/>
          <w:szCs w:val="24"/>
        </w:rPr>
        <w:t>引言</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词汇又称语汇，是一种语言中所有词和词组的总和，是构成任何一门语言的基础要素。英国著名语言学家David Wilkins曾经说过，</w:t>
      </w:r>
      <w:r>
        <w:rPr>
          <w:rFonts w:cs="Times New Roman" w:asciiTheme="majorEastAsia" w:hAnsiTheme="majorEastAsia" w:eastAsiaTheme="majorEastAsia"/>
          <w:sz w:val="21"/>
          <w:szCs w:val="21"/>
        </w:rPr>
        <w:t>“</w:t>
      </w:r>
      <w:r>
        <w:rPr>
          <w:rFonts w:ascii="Times New Roman" w:hAnsi="Times New Roman" w:cs="Times New Roman" w:eastAsiaTheme="majorEastAsia"/>
          <w:sz w:val="21"/>
          <w:szCs w:val="21"/>
        </w:rPr>
        <w:t>没有语法，人们不能表达很多东西，而没有词汇，人们则无法表达任何东西</w:t>
      </w:r>
      <w:r>
        <w:rPr>
          <w:rFonts w:cs="Times New Roman" w:asciiTheme="minorEastAsia" w:hAnsiTheme="minorEastAsia" w:eastAsiaTheme="minorEastAsia"/>
          <w:sz w:val="21"/>
          <w:szCs w:val="21"/>
        </w:rPr>
        <w:t>”</w:t>
      </w:r>
      <w:r>
        <w:rPr>
          <w:rFonts w:ascii="Times New Roman" w:hAnsi="Times New Roman" w:cs="Times New Roman" w:eastAsiaTheme="majorEastAsia"/>
          <w:sz w:val="21"/>
          <w:szCs w:val="21"/>
        </w:rPr>
        <w:t>。这充分肯定了词汇在一门语言中的重要地位。2017年版的《普通高中英语课程标准》指出，英语课程内容包含六个要素：主题语境、语篇类型、语言知识、文化知识、语言技能和学习策略。其中，语言知识包括语音、词汇、语法、语篇和语用知识。由此可见，词汇知识是高中英语课程学习的一个重要方面，英语词汇学习是学好英语这门语言的关键。</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然而，英语和汉语属于两个完全不同的语言体系，掌握英语词汇对于中国学生来说有一定难度。因此，关于英语词汇教学的研究便成为英语教学研究领域的一个重要方面，其中，行动研究占了一定的比例。中国知网文献资料显示，关于英语词汇教学行动研究的论文共52篇，其中，专门针对高中英语词汇教学行动研究的论文共13篇。这13篇论文中，研究者们主要围绕多模态视角、词块理论、语境理论、叙事教学法、情景教学法、元认知策略和词汇墙的运用这七大方面展开了英语词汇教学的行动研究，这有助于改进高中英语词汇教学效果。本文则主要根据自己所教高中学生英语词汇学习中遇到的突出问题为出发点，进行了旨在提高英语单词朗读及记忆准确率的英语词汇教学行动研究。</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行动研究（action research）是一种研究方法和研究类型，旨在使</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行动</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与</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研究</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科</w:t>
      </w:r>
      <w:r>
        <w:rPr>
          <w:rFonts w:ascii="Times New Roman" w:hAnsi="Times New Roman" w:cs="Times New Roman" w:eastAsiaTheme="majorEastAsia"/>
          <w:sz w:val="21"/>
          <w:szCs w:val="21"/>
        </w:rPr>
        <w:t>学、有效地结合起来。Kemmis &amp; McTaggart （1988:6）指出：</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行动研究是一种自我反思的方式，社会工作者和教育工作者通过这种方式提高：（</w:t>
      </w:r>
      <w:r>
        <w:rPr>
          <w:rFonts w:cs="Times New Roman" w:asciiTheme="minorEastAsia" w:hAnsiTheme="minorEastAsia" w:eastAsiaTheme="minorEastAsia"/>
          <w:sz w:val="21"/>
          <w:szCs w:val="21"/>
        </w:rPr>
        <w:t>1</w:t>
      </w:r>
      <w:r>
        <w:rPr>
          <w:rFonts w:hint="eastAsia" w:cs="Times New Roman" w:asciiTheme="minorEastAsia" w:hAnsiTheme="minorEastAsia" w:eastAsiaTheme="minorEastAsia"/>
          <w:sz w:val="21"/>
          <w:szCs w:val="21"/>
        </w:rPr>
        <w:t>）他们对自身所从事的社会或教育事业的理性认识和正确评价；（</w:t>
      </w:r>
      <w:r>
        <w:rPr>
          <w:rFonts w:cs="Times New Roman" w:asciiTheme="minorEastAsia" w:hAnsiTheme="minorEastAsia" w:eastAsiaTheme="minorEastAsia"/>
          <w:sz w:val="21"/>
          <w:szCs w:val="21"/>
        </w:rPr>
        <w:t>2</w:t>
      </w:r>
      <w:r>
        <w:rPr>
          <w:rFonts w:hint="eastAsia" w:cs="Times New Roman" w:asciiTheme="minorEastAsia" w:hAnsiTheme="minorEastAsia" w:eastAsiaTheme="minorEastAsia"/>
          <w:sz w:val="21"/>
          <w:szCs w:val="21"/>
        </w:rPr>
        <w:t>）对自己工作过程的理性认识和正确评价；（</w:t>
      </w: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）对自己的工作环境的理性认识和正确评价</w:t>
      </w:r>
      <w:r>
        <w:rPr>
          <w:rFonts w:cs="Times New Roman" w:asciiTheme="minorEastAsia" w:hAnsiTheme="minorEastAsia" w:eastAsiaTheme="minorEastAsia"/>
          <w:sz w:val="21"/>
          <w:szCs w:val="21"/>
        </w:rPr>
        <w:t>”</w:t>
      </w:r>
      <w:r>
        <w:rPr>
          <w:rFonts w:ascii="Times New Roman" w:hAnsi="Times New Roman" w:cs="Times New Roman" w:eastAsiaTheme="majorEastAsia"/>
          <w:sz w:val="21"/>
          <w:szCs w:val="21"/>
        </w:rPr>
        <w:t>。这两位行动研究领域的知名学者把行动研究的基本过程总结为4步：计划、实施、观察和反思（Kemmis &amp; McTaggart 1988:26）。文秋芳、韩少杰（2011:74-75）详细勾画了行动研究的4个环节：（1）聚焦问题；（2）提出（解决问题）方案；（3）实施方案；（4）评价成效。按照以上四个环节，笔者共开展了两轮行动研究。</w:t>
      </w:r>
    </w:p>
    <w:p>
      <w:pPr>
        <w:pStyle w:val="20"/>
        <w:numPr>
          <w:ilvl w:val="0"/>
          <w:numId w:val="1"/>
        </w:numPr>
        <w:spacing w:after="0" w:line="400" w:lineRule="exact"/>
        <w:ind w:firstLineChars="0"/>
        <w:rPr>
          <w:rFonts w:ascii="Times New Roman" w:hAnsi="Times New Roman" w:cs="Times New Roman" w:eastAsiaTheme="majorEastAsia"/>
          <w:b/>
          <w:sz w:val="21"/>
          <w:szCs w:val="21"/>
        </w:rPr>
      </w:pPr>
      <w:r>
        <w:rPr>
          <w:rFonts w:ascii="Times New Roman" w:hAnsi="Times New Roman" w:cs="Times New Roman" w:eastAsiaTheme="majorEastAsia"/>
          <w:b/>
          <w:sz w:val="24"/>
          <w:szCs w:val="24"/>
        </w:rPr>
        <w:t>问题的提出</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笔者任教的课程是《高中英语（四）》，授课对象为七年贯通制学生基础阶段高中二年级第二学期小学教育专业的学生，共计3个班，116人。笔者在学期初第一、二周的授课中发现，学生朗读单词准确率低以及记忆单词困难的现象比较普遍。</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为了全面了解学生的英语词汇学习情况，笔者查看了所认教的三个班在二年级第一学期《高中英语（三）》课程期末考试的试卷，研究了该试卷的词汇考查题型，并分析了三个班共计116名学生的词汇成绩。该试卷直接考查词汇的题型有两个：单项选择题和填空题，单项选择主要考查学生在句子语境中对词汇的运用能力，填空题主要考查学生的词汇书写能力。直接考查词汇的题目个数偏少，总计只有9道题，单项选择占4道，填空占5道，前者每道题1分，后者每道题2分，总分值14分。每道题型的得分情况如表1所示。结果显示：词汇知识单项选择题目中，客观选择题及格率不及一半，主观填空题做得更差，仅有11.2%的学生及格，两项题型的平均及格率不足三成。由此可见，学生的词汇知识基础很薄弱，词汇的书写准确率更薄弱。</w:t>
      </w:r>
    </w:p>
    <w:p>
      <w:pPr>
        <w:spacing w:line="440" w:lineRule="atLeast"/>
        <w:ind w:right="315"/>
        <w:jc w:val="center"/>
        <w:rPr>
          <w:rFonts w:ascii="宋体" w:hAnsi="宋体" w:cs="Arial"/>
          <w:szCs w:val="21"/>
        </w:rPr>
      </w:pPr>
      <w:r>
        <w:rPr>
          <w:rFonts w:ascii="Times New Roman" w:hAnsi="Times New Roman" w:cs="Times New Roman" w:eastAsiaTheme="majorEastAsia"/>
          <w:sz w:val="21"/>
          <w:szCs w:val="21"/>
        </w:rPr>
        <w:t>表</w:t>
      </w:r>
      <w:r>
        <w:rPr>
          <w:rFonts w:hint="eastAsia" w:ascii="Times New Roman" w:hAnsi="Times New Roman" w:cs="Times New Roman" w:eastAsiaTheme="majorEastAsia"/>
          <w:sz w:val="21"/>
          <w:szCs w:val="21"/>
        </w:rPr>
        <w:t xml:space="preserve">1  </w:t>
      </w:r>
      <w:r>
        <w:rPr>
          <w:rFonts w:ascii="Times New Roman" w:hAnsi="Times New Roman" w:cs="Times New Roman" w:eastAsiaTheme="majorEastAsia"/>
          <w:sz w:val="21"/>
          <w:szCs w:val="21"/>
        </w:rPr>
        <w:t>《高中英语（三）》试卷词汇知识答题情况</w:t>
      </w:r>
    </w:p>
    <w:tbl>
      <w:tblPr>
        <w:tblStyle w:val="6"/>
        <w:tblW w:w="789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6"/>
        <w:gridCol w:w="2550"/>
        <w:gridCol w:w="235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题型</w:t>
            </w:r>
          </w:p>
        </w:tc>
        <w:tc>
          <w:tcPr>
            <w:tcW w:w="2550"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单项选择（语境运用）</w:t>
            </w:r>
          </w:p>
        </w:tc>
        <w:tc>
          <w:tcPr>
            <w:tcW w:w="2356"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填空（单词书写）</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tcBorders>
              <w:top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及格人数</w:t>
            </w:r>
          </w:p>
        </w:tc>
        <w:tc>
          <w:tcPr>
            <w:tcW w:w="2550" w:type="dxa"/>
            <w:tcBorders>
              <w:top w:val="single" w:color="auto" w:sz="4" w:space="0"/>
            </w:tcBorders>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52</w:t>
            </w:r>
          </w:p>
        </w:tc>
        <w:tc>
          <w:tcPr>
            <w:tcW w:w="2356" w:type="dxa"/>
            <w:tcBorders>
              <w:top w:val="single" w:color="auto" w:sz="4" w:space="0"/>
            </w:tcBorders>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Times New Roman" w:hAnsi="Times New Roman" w:cs="Times New Roman" w:eastAsiaTheme="majorEastAsia"/>
                <w:sz w:val="21"/>
                <w:szCs w:val="21"/>
              </w:rPr>
            </w:pPr>
            <w:r>
              <w:rPr>
                <w:rFonts w:ascii="Times New Roman" w:hAnsi="Times New Roman" w:cs="Times New Roman" w:eastAsiaTheme="majorEastAsia"/>
                <w:sz w:val="21"/>
                <w:szCs w:val="21"/>
              </w:rPr>
              <w:t>优秀人数</w:t>
            </w:r>
          </w:p>
          <w:p>
            <w:pPr>
              <w:spacing w:after="0" w:line="400" w:lineRule="exact"/>
              <w:rPr>
                <w:rFonts w:ascii="宋体" w:hAnsi="宋体" w:cs="Arial"/>
                <w:szCs w:val="21"/>
              </w:rPr>
            </w:pPr>
            <w:r>
              <w:rPr>
                <w:rFonts w:ascii="Times New Roman" w:hAnsi="Times New Roman" w:cs="Times New Roman" w:eastAsiaTheme="majorEastAsia"/>
                <w:sz w:val="21"/>
                <w:szCs w:val="21"/>
              </w:rPr>
              <w:t>（每项按总分值的90%计算）</w:t>
            </w:r>
          </w:p>
        </w:tc>
        <w:tc>
          <w:tcPr>
            <w:tcW w:w="2550"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15</w:t>
            </w:r>
          </w:p>
        </w:tc>
        <w:tc>
          <w:tcPr>
            <w:tcW w:w="2356"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有效人数</w:t>
            </w:r>
          </w:p>
        </w:tc>
        <w:tc>
          <w:tcPr>
            <w:tcW w:w="2550"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116</w:t>
            </w:r>
          </w:p>
        </w:tc>
        <w:tc>
          <w:tcPr>
            <w:tcW w:w="2356"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及格率</w:t>
            </w:r>
          </w:p>
        </w:tc>
        <w:tc>
          <w:tcPr>
            <w:tcW w:w="2550"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44.8%</w:t>
            </w:r>
          </w:p>
        </w:tc>
        <w:tc>
          <w:tcPr>
            <w:tcW w:w="2356"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优秀率</w:t>
            </w:r>
          </w:p>
        </w:tc>
        <w:tc>
          <w:tcPr>
            <w:tcW w:w="2550"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12.9%</w:t>
            </w:r>
          </w:p>
        </w:tc>
        <w:tc>
          <w:tcPr>
            <w:tcW w:w="2356" w:type="dxa"/>
            <w:vAlign w:val="bottom"/>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平均及格率</w:t>
            </w:r>
          </w:p>
        </w:tc>
        <w:tc>
          <w:tcPr>
            <w:tcW w:w="4906" w:type="dxa"/>
            <w:gridSpan w:val="2"/>
            <w:vAlign w:val="bottom"/>
          </w:tcPr>
          <w:p>
            <w:pPr>
              <w:spacing w:line="440" w:lineRule="atLeast"/>
              <w:ind w:right="315"/>
              <w:jc w:val="center"/>
              <w:rPr>
                <w:rFonts w:ascii="宋体" w:hAnsi="宋体" w:cs="Arial"/>
                <w:szCs w:val="21"/>
              </w:rPr>
            </w:pPr>
            <w:r>
              <w:rPr>
                <w:rFonts w:ascii="Times New Roman" w:hAnsi="Times New Roman" w:cs="Times New Roman" w:eastAsiaTheme="majorEastAsia"/>
                <w:sz w:val="21"/>
                <w:szCs w:val="21"/>
              </w:rPr>
              <w:t>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平均优秀率</w:t>
            </w:r>
          </w:p>
        </w:tc>
        <w:tc>
          <w:tcPr>
            <w:tcW w:w="4906" w:type="dxa"/>
            <w:gridSpan w:val="2"/>
            <w:vAlign w:val="bottom"/>
          </w:tcPr>
          <w:p>
            <w:pPr>
              <w:spacing w:line="440" w:lineRule="atLeast"/>
              <w:ind w:right="315"/>
              <w:jc w:val="center"/>
              <w:rPr>
                <w:rFonts w:ascii="宋体" w:hAnsi="宋体" w:cs="Arial"/>
                <w:szCs w:val="21"/>
              </w:rPr>
            </w:pPr>
            <w:r>
              <w:rPr>
                <w:rFonts w:ascii="Times New Roman" w:hAnsi="Times New Roman" w:cs="Times New Roman" w:eastAsiaTheme="majorEastAsia"/>
                <w:sz w:val="21"/>
                <w:szCs w:val="21"/>
              </w:rPr>
              <w:t>8.2%</w:t>
            </w:r>
          </w:p>
        </w:tc>
      </w:tr>
    </w:tbl>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鉴于此，笔者将第一轮行动研究要达成的目标界定为提高学生朗读单词的准确率和记忆单词的准确率。</w:t>
      </w:r>
    </w:p>
    <w:p>
      <w:pPr>
        <w:pStyle w:val="20"/>
        <w:numPr>
          <w:ilvl w:val="0"/>
          <w:numId w:val="1"/>
        </w:numPr>
        <w:spacing w:after="0" w:line="400" w:lineRule="exact"/>
        <w:ind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研究方法</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为记录教学过程和学生的学习情况，笔者根据教学设计和实施的具体情况，在两轮行动研究中先后收集了如下数据：学生微信群单词打卡语音数据、单词听写成绩和文本以及词汇测验成绩和文本。</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另外，需要特别说明的是，本研究是一项行动研究，即通过</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发现问题</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提出方案</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采取行动</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评估效果</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重新界定</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发现问题</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调整方案</w:t>
      </w:r>
      <w:r>
        <w:rPr>
          <w:rFonts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rPr>
        <w:t>提出新方案</w:t>
      </w:r>
      <w:r>
        <w:rPr>
          <w:rFonts w:cs="Times New Roman" w:asciiTheme="minorEastAsia" w:hAnsiTheme="minorEastAsia" w:eastAsiaTheme="minorEastAsia"/>
          <w:sz w:val="21"/>
          <w:szCs w:val="21"/>
        </w:rPr>
        <w:t>”</w:t>
      </w:r>
      <w:r>
        <w:rPr>
          <w:rFonts w:ascii="Times New Roman" w:hAnsi="Times New Roman" w:cs="Times New Roman" w:eastAsiaTheme="majorEastAsia"/>
          <w:sz w:val="21"/>
          <w:szCs w:val="21"/>
        </w:rPr>
        <w:t>的循环来探索教学改进（文秋芳，2012）。因此，研究的意义更多体现在记录、揭示教学改进的思路过程及发展规律（Burns, 2011），而非聚焦教学处理与学习效果之间的因果关系。</w:t>
      </w:r>
    </w:p>
    <w:p>
      <w:pPr>
        <w:pStyle w:val="20"/>
        <w:numPr>
          <w:ilvl w:val="0"/>
          <w:numId w:val="1"/>
        </w:numPr>
        <w:spacing w:after="0" w:line="400" w:lineRule="exact"/>
        <w:ind w:firstLineChars="0"/>
        <w:rPr>
          <w:rFonts w:ascii="Times New Roman" w:hAnsi="Times New Roman" w:cs="Times New Roman" w:eastAsiaTheme="majorEastAsia"/>
          <w:b/>
          <w:sz w:val="21"/>
          <w:szCs w:val="21"/>
        </w:rPr>
      </w:pPr>
      <w:r>
        <w:rPr>
          <w:rFonts w:ascii="Times New Roman" w:hAnsi="Times New Roman" w:cs="Times New Roman" w:eastAsiaTheme="majorEastAsia"/>
          <w:b/>
          <w:sz w:val="24"/>
          <w:szCs w:val="24"/>
        </w:rPr>
        <w:t>第一轮行动及效果评估</w:t>
      </w:r>
    </w:p>
    <w:p>
      <w:pPr>
        <w:spacing w:after="0" w:line="400" w:lineRule="exact"/>
        <w:ind w:left="360"/>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（一）行动方案设计与实施</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围绕单词朗读准确率和单词记忆准确率两个方面，第一轮行动方案相应地包括两大方面。</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w:t>
      </w:r>
      <w:r>
        <w:rPr>
          <w:rFonts w:ascii="Times New Roman" w:hAnsi="Times New Roman" w:cs="Times New Roman" w:eastAsiaTheme="majorEastAsia"/>
          <w:sz w:val="21"/>
          <w:szCs w:val="21"/>
        </w:rPr>
        <w:t>在提高单词朗读准确率方面，强化拼读，以音促记。具体做法主要有以下两点。</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w:t>
      </w:r>
      <w:r>
        <w:rPr>
          <w:rFonts w:ascii="Times New Roman" w:hAnsi="Times New Roman" w:cs="Times New Roman" w:eastAsiaTheme="majorEastAsia"/>
          <w:sz w:val="21"/>
          <w:szCs w:val="21"/>
        </w:rPr>
        <w:t>教授自然拼读规则。</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老师在教学生朗读单词的过程中渗透拼读规则，重点教授元音及元音组合的规则发音；在单词复习的过程中，将单词按照拼读规则进行分类，训练学生朗读，增强学生的拼读意识。</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（2）</w:t>
      </w:r>
      <w:r>
        <w:rPr>
          <w:rFonts w:ascii="Times New Roman" w:hAnsi="Times New Roman" w:cs="Times New Roman" w:eastAsiaTheme="majorEastAsia"/>
          <w:sz w:val="21"/>
          <w:szCs w:val="21"/>
        </w:rPr>
        <w:t>单词朗读训练。  每次课堂上，教师花费10分钟左右的时间带读单词，并且在处理语言学习任务的过程中尽可能多地给学生提供朗读单词的机会；建立班级英语学习交流微信群，给学生布置单词打卡的朗读任务，要求学生在微信群里朗读单词，课代表记录每个学生打卡次数。</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2.</w:t>
      </w:r>
      <w:r>
        <w:rPr>
          <w:rFonts w:ascii="Times New Roman" w:hAnsi="Times New Roman" w:cs="Times New Roman" w:eastAsiaTheme="majorEastAsia"/>
          <w:sz w:val="21"/>
          <w:szCs w:val="21"/>
        </w:rPr>
        <w:t>在提高单词记忆准确率方面，利用多种单词记忆策略，帮助学生记忆单词，并对学生进行相应的单词拼写训练。具体做法也有以下两点。</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（1）</w:t>
      </w:r>
      <w:r>
        <w:rPr>
          <w:rFonts w:ascii="Times New Roman" w:hAnsi="Times New Roman" w:cs="Times New Roman" w:eastAsiaTheme="majorEastAsia"/>
          <w:sz w:val="21"/>
          <w:szCs w:val="21"/>
        </w:rPr>
        <w:t>利用多种单词记忆策略，辅助学生记住单词。 在前期拼读训练的基础上，结合学生的年龄特点和喜好，主要使用了以下记忆策略：</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1）图画记忆法。 借助图画，帮助学生记忆单词，可以使用一张图画配一个单词，也可以使用一张图画配多个单词。</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2）结构记忆策略。 利用构词法来辅助记忆单词，例如，利用词根、前缀、后缀记忆单词。</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3）以音促记法。 在会读单词的基础上，教给学生分音节边读边拼写单词，对于单词较长、音节较多的单词，可依据音节对单词进行分解，然后边读边拼。</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4）思维导图/语境记忆法。 借助故事语境，以思维导图的形式将各个单词呈现给学生，教给学生在语境中记单词。</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5）归类记忆法。 可将单词进行分类，分类的标准可多样化，如词性、语义、主题等。</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6）联想记忆法。 在新学单词和已学单词间建立联系，可在词缀、词义、词形等方面建立关联，以旧促新。</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需要特别指出的是，不是每一个单词都适合用以上提到的词汇记忆策略来记忆，在单词学习的过程中，教师要选择适合所学单词的记忆策略，从而使单词记忆事半功倍。</w:t>
      </w:r>
    </w:p>
    <w:p>
      <w:pPr>
        <w:spacing w:after="0" w:line="4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（2）</w:t>
      </w:r>
      <w:r>
        <w:rPr>
          <w:rFonts w:ascii="Times New Roman" w:hAnsi="Times New Roman" w:cs="Times New Roman" w:eastAsiaTheme="majorEastAsia"/>
          <w:sz w:val="21"/>
          <w:szCs w:val="21"/>
        </w:rPr>
        <w:t>单词拼写训练。 给学生布置单词拼写训练任务，在训练时，要求学生边读边写，以音促记。</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3.单词听写检查。 每学完1个Lesson，进行一次单词听写检查，每课抽查10个单词，要求学生根据老师的英文读音，写出英文单词和单词的汉语意思。听写完毕，立刻收齐听写文本，教师认真批阅，记录成绩，并进行成绩分析，要求学生对错词进行定量的改正训练。</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以上方案的实施持续了8周，也就是该课程期中考试以前。教师按照行动方案实施课堂的词汇教学，每个班的多数学生能按时按要求完成微信群的单词打卡，多数学生能提交单词听写，几乎100%的提交单词听写的学生能按时按要求改正单词。</w:t>
      </w:r>
    </w:p>
    <w:p>
      <w:pPr>
        <w:spacing w:after="0" w:line="400" w:lineRule="exact"/>
        <w:ind w:firstLine="422" w:firstLineChars="200"/>
        <w:rPr>
          <w:rFonts w:ascii="Times New Roman" w:hAnsi="Times New Roman" w:cs="Times New Roman" w:eastAsiaTheme="majorEastAsia"/>
          <w:sz w:val="21"/>
          <w:szCs w:val="21"/>
        </w:rPr>
      </w:pPr>
      <w:r>
        <w:rPr>
          <w:rFonts w:ascii="Times New Roman" w:hAnsi="Times New Roman" w:cs="Times New Roman" w:eastAsiaTheme="majorEastAsia"/>
          <w:b/>
          <w:sz w:val="21"/>
          <w:szCs w:val="21"/>
        </w:rPr>
        <w:t>（二）效果评估</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在行动方案实施的过程中，笔者注意观察了学生的课堂表现，及时查听微信群单词打卡语音资料，统计分析了4次单词听写的成绩和期中考试的词汇成绩。</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经过一轮的教学，笔者发现，拼读规则的渗透大大提高了学生朗读单词的准确性，并且确实降低了学生记忆单词的难度，在单词听写成绩方面，三个班的总及格率在80%以上，优秀率在15%以上，如表2所示。由此可见，学生每次单词听写总体成绩较好。</w:t>
      </w:r>
    </w:p>
    <w:p>
      <w:pPr>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表2</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第一轮行动教学单词听写成绩</w:t>
      </w:r>
    </w:p>
    <w:tbl>
      <w:tblPr>
        <w:tblStyle w:val="6"/>
        <w:tblW w:w="853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855"/>
        <w:gridCol w:w="915"/>
        <w:gridCol w:w="900"/>
        <w:gridCol w:w="885"/>
        <w:gridCol w:w="915"/>
        <w:gridCol w:w="915"/>
        <w:gridCol w:w="870"/>
        <w:gridCol w:w="95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Merge w:val="restart"/>
            <w:tcBorders>
              <w:top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分数段</w:t>
            </w:r>
          </w:p>
        </w:tc>
        <w:tc>
          <w:tcPr>
            <w:tcW w:w="1770" w:type="dxa"/>
            <w:gridSpan w:val="2"/>
            <w:tcBorders>
              <w:top w:val="single" w:color="auto"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单词听写1</w:t>
            </w:r>
          </w:p>
        </w:tc>
        <w:tc>
          <w:tcPr>
            <w:tcW w:w="1785" w:type="dxa"/>
            <w:gridSpan w:val="2"/>
            <w:tcBorders>
              <w:top w:val="single" w:color="auto"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单词听写2</w:t>
            </w:r>
          </w:p>
        </w:tc>
        <w:tc>
          <w:tcPr>
            <w:tcW w:w="1830" w:type="dxa"/>
            <w:gridSpan w:val="2"/>
            <w:tcBorders>
              <w:top w:val="single" w:color="auto"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单词听写3</w:t>
            </w:r>
          </w:p>
        </w:tc>
        <w:tc>
          <w:tcPr>
            <w:tcW w:w="1821" w:type="dxa"/>
            <w:gridSpan w:val="2"/>
            <w:tcBorders>
              <w:top w:val="single" w:color="auto"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单词听写4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Merge w:val="continue"/>
            <w:tcBorders>
              <w:bottom w:val="single" w:color="auto" w:sz="4" w:space="0"/>
            </w:tcBorders>
            <w:vAlign w:val="bottom"/>
          </w:tcPr>
          <w:p>
            <w:pPr>
              <w:spacing w:after="0" w:line="400" w:lineRule="exact"/>
              <w:rPr>
                <w:rFonts w:ascii="宋体" w:hAnsi="宋体" w:cs="Arial"/>
                <w:szCs w:val="21"/>
              </w:rPr>
            </w:pPr>
          </w:p>
        </w:tc>
        <w:tc>
          <w:tcPr>
            <w:tcW w:w="855" w:type="dxa"/>
            <w:tcBorders>
              <w:top w:val="single" w:color="auto" w:sz="4" w:space="0"/>
              <w:bottom w:val="single" w:color="auto" w:sz="4" w:space="0"/>
              <w:right w:val="dotted" w:color="000000"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人数</w:t>
            </w:r>
          </w:p>
        </w:tc>
        <w:tc>
          <w:tcPr>
            <w:tcW w:w="915" w:type="dxa"/>
            <w:tcBorders>
              <w:top w:val="single" w:color="auto" w:sz="4" w:space="0"/>
              <w:left w:val="dotted" w:color="000000"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百分比</w:t>
            </w:r>
          </w:p>
        </w:tc>
        <w:tc>
          <w:tcPr>
            <w:tcW w:w="900" w:type="dxa"/>
            <w:tcBorders>
              <w:top w:val="single" w:color="auto" w:sz="4" w:space="0"/>
              <w:bottom w:val="single" w:color="auto" w:sz="4" w:space="0"/>
              <w:right w:val="dotted" w:color="000000"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人数</w:t>
            </w:r>
          </w:p>
        </w:tc>
        <w:tc>
          <w:tcPr>
            <w:tcW w:w="885" w:type="dxa"/>
            <w:tcBorders>
              <w:top w:val="single" w:color="auto" w:sz="4" w:space="0"/>
              <w:left w:val="dotted" w:color="000000"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百分比</w:t>
            </w:r>
          </w:p>
        </w:tc>
        <w:tc>
          <w:tcPr>
            <w:tcW w:w="915" w:type="dxa"/>
            <w:tcBorders>
              <w:top w:val="single" w:color="auto" w:sz="4" w:space="0"/>
              <w:bottom w:val="single" w:color="auto" w:sz="4" w:space="0"/>
              <w:right w:val="dotted" w:color="000000"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人数</w:t>
            </w:r>
          </w:p>
        </w:tc>
        <w:tc>
          <w:tcPr>
            <w:tcW w:w="915" w:type="dxa"/>
            <w:tcBorders>
              <w:top w:val="single" w:color="auto" w:sz="4" w:space="0"/>
              <w:left w:val="dotted" w:color="000000"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百分比</w:t>
            </w:r>
          </w:p>
        </w:tc>
        <w:tc>
          <w:tcPr>
            <w:tcW w:w="870" w:type="dxa"/>
            <w:tcBorders>
              <w:top w:val="single" w:color="auto" w:sz="4" w:space="0"/>
              <w:bottom w:val="single" w:color="auto" w:sz="4" w:space="0"/>
              <w:right w:val="dotted" w:color="000000"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人数</w:t>
            </w:r>
          </w:p>
        </w:tc>
        <w:tc>
          <w:tcPr>
            <w:tcW w:w="951" w:type="dxa"/>
            <w:tcBorders>
              <w:top w:val="single" w:color="auto" w:sz="4" w:space="0"/>
              <w:left w:val="dotted" w:color="000000" w:sz="4" w:space="0"/>
              <w:bottom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百分比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Borders>
              <w:top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100分</w:t>
            </w:r>
          </w:p>
        </w:tc>
        <w:tc>
          <w:tcPr>
            <w:tcW w:w="855" w:type="dxa"/>
            <w:tcBorders>
              <w:top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18</w:t>
            </w:r>
          </w:p>
        </w:tc>
        <w:tc>
          <w:tcPr>
            <w:tcW w:w="91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18%</w:t>
            </w:r>
          </w:p>
        </w:tc>
        <w:tc>
          <w:tcPr>
            <w:tcW w:w="900" w:type="dxa"/>
            <w:tcBorders>
              <w:top w:val="single" w:color="auto" w:sz="4" w:space="0"/>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14</w:t>
            </w:r>
          </w:p>
        </w:tc>
        <w:tc>
          <w:tcPr>
            <w:tcW w:w="88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12.8%</w:t>
            </w:r>
          </w:p>
        </w:tc>
        <w:tc>
          <w:tcPr>
            <w:tcW w:w="915" w:type="dxa"/>
            <w:tcBorders>
              <w:top w:val="single" w:color="auto" w:sz="4" w:space="0"/>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16</w:t>
            </w:r>
          </w:p>
        </w:tc>
        <w:tc>
          <w:tcPr>
            <w:tcW w:w="91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15.4%</w:t>
            </w:r>
          </w:p>
        </w:tc>
        <w:tc>
          <w:tcPr>
            <w:tcW w:w="870" w:type="dxa"/>
            <w:tcBorders>
              <w:top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22</w:t>
            </w:r>
          </w:p>
        </w:tc>
        <w:tc>
          <w:tcPr>
            <w:tcW w:w="951"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90-99分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24</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24%</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18</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16.5%</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36</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34.6%</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30</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80-89分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23</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23%</w:t>
            </w:r>
          </w:p>
        </w:tc>
        <w:tc>
          <w:tcPr>
            <w:tcW w:w="90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15</w:t>
            </w:r>
          </w:p>
        </w:tc>
        <w:tc>
          <w:tcPr>
            <w:tcW w:w="88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13.8%</w:t>
            </w:r>
          </w:p>
        </w:tc>
        <w:tc>
          <w:tcPr>
            <w:tcW w:w="91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21</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20.2%</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25</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60-79分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26</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26%</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50</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45.9%</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12</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11.5%</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18</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17.0%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﹤60</w:t>
            </w:r>
          </w:p>
        </w:tc>
        <w:tc>
          <w:tcPr>
            <w:tcW w:w="85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22</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20.2%</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19</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18.3%</w:t>
            </w:r>
          </w:p>
        </w:tc>
        <w:tc>
          <w:tcPr>
            <w:tcW w:w="87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11</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有效人数</w:t>
            </w:r>
          </w:p>
        </w:tc>
        <w:tc>
          <w:tcPr>
            <w:tcW w:w="1770"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100</w:t>
            </w:r>
          </w:p>
        </w:tc>
        <w:tc>
          <w:tcPr>
            <w:tcW w:w="1785"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109</w:t>
            </w:r>
          </w:p>
        </w:tc>
        <w:tc>
          <w:tcPr>
            <w:tcW w:w="1830"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104</w:t>
            </w:r>
          </w:p>
        </w:tc>
        <w:tc>
          <w:tcPr>
            <w:tcW w:w="1821"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及格率</w:t>
            </w:r>
          </w:p>
        </w:tc>
        <w:tc>
          <w:tcPr>
            <w:tcW w:w="177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91.0%</w:t>
            </w:r>
          </w:p>
        </w:tc>
        <w:tc>
          <w:tcPr>
            <w:tcW w:w="1785"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79.8%</w:t>
            </w:r>
          </w:p>
        </w:tc>
        <w:tc>
          <w:tcPr>
            <w:tcW w:w="183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81.7%</w:t>
            </w:r>
          </w:p>
        </w:tc>
        <w:tc>
          <w:tcPr>
            <w:tcW w:w="1821"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89.6%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优秀率</w:t>
            </w:r>
          </w:p>
        </w:tc>
        <w:tc>
          <w:tcPr>
            <w:tcW w:w="177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42.0%</w:t>
            </w:r>
          </w:p>
        </w:tc>
        <w:tc>
          <w:tcPr>
            <w:tcW w:w="1785"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29.3%</w:t>
            </w:r>
          </w:p>
        </w:tc>
        <w:tc>
          <w:tcPr>
            <w:tcW w:w="183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50.0%</w:t>
            </w:r>
          </w:p>
        </w:tc>
        <w:tc>
          <w:tcPr>
            <w:tcW w:w="1821"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49.1%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总有效人数</w:t>
            </w:r>
          </w:p>
        </w:tc>
        <w:tc>
          <w:tcPr>
            <w:tcW w:w="7206" w:type="dxa"/>
            <w:gridSpan w:val="8"/>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419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平均及格率</w:t>
            </w:r>
          </w:p>
        </w:tc>
        <w:tc>
          <w:tcPr>
            <w:tcW w:w="7206" w:type="dxa"/>
            <w:gridSpan w:val="8"/>
            <w:vAlign w:val="bottom"/>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85.4%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平均优秀率</w:t>
            </w:r>
          </w:p>
        </w:tc>
        <w:tc>
          <w:tcPr>
            <w:tcW w:w="7206" w:type="dxa"/>
            <w:gridSpan w:val="8"/>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16.7%</w:t>
            </w:r>
          </w:p>
        </w:tc>
      </w:tr>
    </w:tbl>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就期中考试成绩来看，本次词汇成绩的及格率跟上一学期同题型的词汇成绩相比高了5个百分点，但是优秀率反而降低了4个百分点，如表3所示。同时，本次期中考试的词汇成绩跟平时的词汇听写成绩相比，差距太大。这说明，期中考试学生的词汇成绩不理想，还有很大提高空间。</w:t>
      </w:r>
    </w:p>
    <w:p>
      <w:pPr>
        <w:spacing w:after="0" w:line="400" w:lineRule="exact"/>
        <w:ind w:firstLine="525" w:firstLineChars="250"/>
        <w:rPr>
          <w:rFonts w:ascii="Times New Roman" w:hAnsi="Times New Roman" w:cs="Times New Roman" w:eastAsiaTheme="majorEastAsia"/>
          <w:sz w:val="21"/>
          <w:szCs w:val="21"/>
        </w:rPr>
      </w:pPr>
      <w:r>
        <w:rPr>
          <w:rFonts w:ascii="Times New Roman" w:hAnsi="Times New Roman" w:cs="Times New Roman" w:eastAsiaTheme="majorEastAsia"/>
          <w:sz w:val="21"/>
          <w:szCs w:val="21"/>
        </w:rPr>
        <w:t>就微信群单词朗读语音资料来看，不是所有的学生都能完成单词打卡任务，并且学生的错误发音不能及时纠正。</w:t>
      </w:r>
    </w:p>
    <w:p>
      <w:pPr>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表3</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期中考试词汇成绩</w:t>
      </w:r>
    </w:p>
    <w:tbl>
      <w:tblPr>
        <w:tblStyle w:val="6"/>
        <w:tblW w:w="789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6"/>
        <w:gridCol w:w="2550"/>
        <w:gridCol w:w="235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题型</w:t>
            </w:r>
          </w:p>
        </w:tc>
        <w:tc>
          <w:tcPr>
            <w:tcW w:w="2550"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单项选择（语境运用）</w:t>
            </w:r>
          </w:p>
        </w:tc>
        <w:tc>
          <w:tcPr>
            <w:tcW w:w="2356" w:type="dxa"/>
            <w:tcBorders>
              <w:top w:val="single" w:color="auto" w:sz="4" w:space="0"/>
              <w:bottom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填空（单词书写）</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tcBorders>
              <w:top w:val="single" w:color="auto" w:sz="4" w:space="0"/>
            </w:tcBorders>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及格人数</w:t>
            </w:r>
          </w:p>
        </w:tc>
        <w:tc>
          <w:tcPr>
            <w:tcW w:w="2550" w:type="dxa"/>
            <w:tcBorders>
              <w:top w:val="single" w:color="auto" w:sz="4" w:space="0"/>
            </w:tcBorders>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47</w:t>
            </w:r>
          </w:p>
        </w:tc>
        <w:tc>
          <w:tcPr>
            <w:tcW w:w="2356" w:type="dxa"/>
            <w:tcBorders>
              <w:top w:val="single" w:color="auto" w:sz="4" w:space="0"/>
            </w:tcBorders>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25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Times New Roman" w:hAnsi="Times New Roman" w:cs="Times New Roman" w:eastAsiaTheme="majorEastAsia"/>
                <w:sz w:val="21"/>
                <w:szCs w:val="21"/>
              </w:rPr>
            </w:pPr>
            <w:r>
              <w:rPr>
                <w:rFonts w:ascii="Times New Roman" w:hAnsi="Times New Roman" w:cs="Times New Roman" w:eastAsiaTheme="majorEastAsia"/>
                <w:sz w:val="21"/>
                <w:szCs w:val="21"/>
              </w:rPr>
              <w:t>优秀人数</w:t>
            </w:r>
          </w:p>
          <w:p>
            <w:pPr>
              <w:spacing w:after="0" w:line="400" w:lineRule="exact"/>
              <w:rPr>
                <w:rFonts w:ascii="宋体" w:hAnsi="宋体" w:cs="Arial"/>
                <w:szCs w:val="21"/>
              </w:rPr>
            </w:pPr>
            <w:r>
              <w:rPr>
                <w:rFonts w:ascii="Times New Roman" w:hAnsi="Times New Roman" w:cs="Times New Roman" w:eastAsiaTheme="majorEastAsia"/>
                <w:sz w:val="21"/>
                <w:szCs w:val="21"/>
              </w:rPr>
              <w:t>（每项按总分值的90%计算）</w:t>
            </w:r>
          </w:p>
        </w:tc>
        <w:tc>
          <w:tcPr>
            <w:tcW w:w="2550"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2</w:t>
            </w:r>
          </w:p>
        </w:tc>
        <w:tc>
          <w:tcPr>
            <w:tcW w:w="2356"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有效人数</w:t>
            </w:r>
          </w:p>
        </w:tc>
        <w:tc>
          <w:tcPr>
            <w:tcW w:w="2550"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115</w:t>
            </w:r>
          </w:p>
        </w:tc>
        <w:tc>
          <w:tcPr>
            <w:tcW w:w="2356"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115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及格率</w:t>
            </w:r>
          </w:p>
        </w:tc>
        <w:tc>
          <w:tcPr>
            <w:tcW w:w="2550"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40.9%</w:t>
            </w:r>
          </w:p>
        </w:tc>
        <w:tc>
          <w:tcPr>
            <w:tcW w:w="2356"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21.3%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优秀率</w:t>
            </w:r>
          </w:p>
        </w:tc>
        <w:tc>
          <w:tcPr>
            <w:tcW w:w="2550"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1.9%</w:t>
            </w:r>
          </w:p>
        </w:tc>
        <w:tc>
          <w:tcPr>
            <w:tcW w:w="2356" w:type="dxa"/>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6.1%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平均及格率</w:t>
            </w:r>
          </w:p>
        </w:tc>
        <w:tc>
          <w:tcPr>
            <w:tcW w:w="4906" w:type="dxa"/>
            <w:gridSpan w:val="2"/>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31.1%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jc w:val="center"/>
        </w:trPr>
        <w:tc>
          <w:tcPr>
            <w:tcW w:w="2986" w:type="dxa"/>
            <w:vAlign w:val="bottom"/>
          </w:tcPr>
          <w:p>
            <w:pPr>
              <w:spacing w:after="0" w:line="400" w:lineRule="exact"/>
              <w:rPr>
                <w:rFonts w:ascii="宋体" w:hAnsi="宋体" w:cs="Arial"/>
                <w:szCs w:val="21"/>
              </w:rPr>
            </w:pPr>
            <w:r>
              <w:rPr>
                <w:rFonts w:ascii="Times New Roman" w:hAnsi="Times New Roman" w:cs="Times New Roman" w:eastAsiaTheme="majorEastAsia"/>
                <w:sz w:val="21"/>
                <w:szCs w:val="21"/>
              </w:rPr>
              <w:t>平均优秀率</w:t>
            </w:r>
          </w:p>
        </w:tc>
        <w:tc>
          <w:tcPr>
            <w:tcW w:w="4906" w:type="dxa"/>
            <w:gridSpan w:val="2"/>
            <w:vAlign w:val="bottom"/>
          </w:tcPr>
          <w:p>
            <w:pPr>
              <w:spacing w:after="0" w:line="400" w:lineRule="exact"/>
              <w:jc w:val="right"/>
              <w:rPr>
                <w:rFonts w:ascii="宋体" w:hAnsi="宋体" w:cs="Arial"/>
                <w:szCs w:val="21"/>
              </w:rPr>
            </w:pPr>
            <w:r>
              <w:rPr>
                <w:rFonts w:ascii="Times New Roman" w:hAnsi="Times New Roman" w:cs="Times New Roman" w:eastAsiaTheme="majorEastAsia"/>
                <w:sz w:val="21"/>
                <w:szCs w:val="21"/>
              </w:rPr>
              <w:t>4%</w:t>
            </w:r>
          </w:p>
        </w:tc>
      </w:tr>
    </w:tbl>
    <w:p>
      <w:pPr>
        <w:spacing w:after="0" w:line="400" w:lineRule="exact"/>
        <w:ind w:firstLine="422" w:firstLineChars="200"/>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（三）教师反思</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针对上述问题，笔者进行了反思。首先，尽管平时的单词听写成绩较好，但也应意识到，平时的单词听写采取了抽查的方式，所查单词并不能覆盖所学的所有单词，再加上期中考试的词汇考查涵盖了所学的所有单词，大约120个，单词量较大，复习时间偏少，因此期中考试词汇成绩不理想，这说明全面、及时、充分地复习非常重要。其次，微信群单词打卡不可控的因素比较多，例如无法及时纠正学生的错误发音，对于不能及时打卡的学生督促力有限。最后，第一轮的行动方案只是侧重了学生朗读单词的准确率和记忆单词的准确率，对于词汇运用训练得较少，因此期中考试语境运用词汇题目的答题成绩不理想。</w:t>
      </w:r>
    </w:p>
    <w:p>
      <w:pPr>
        <w:pStyle w:val="20"/>
        <w:numPr>
          <w:ilvl w:val="0"/>
          <w:numId w:val="1"/>
        </w:numPr>
        <w:spacing w:after="0" w:line="400" w:lineRule="exact"/>
        <w:ind w:firstLineChars="0"/>
        <w:rPr>
          <w:rFonts w:ascii="Times New Roman" w:hAnsi="Times New Roman" w:cs="Times New Roman" w:eastAsiaTheme="majorEastAsia"/>
          <w:b/>
          <w:sz w:val="24"/>
          <w:szCs w:val="24"/>
        </w:rPr>
      </w:pPr>
      <w:r>
        <w:rPr>
          <w:rFonts w:ascii="Times New Roman" w:hAnsi="Times New Roman" w:cs="Times New Roman" w:eastAsiaTheme="majorEastAsia"/>
          <w:b/>
          <w:sz w:val="24"/>
          <w:szCs w:val="24"/>
        </w:rPr>
        <w:t>第二轮行动及效果评估</w:t>
      </w:r>
    </w:p>
    <w:p>
      <w:pPr>
        <w:spacing w:after="0" w:line="400" w:lineRule="exact"/>
        <w:ind w:firstLine="211" w:firstLineChars="100"/>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（一）行动方案设计与实施</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针对第一轮行动研究中出现的问题，笔者将第二轮行动研究要达成的目标设定为继续提高学生单词朗读的准确率、单词拼写的准确率，同时提高学生语境运用词汇的能力。具体做法是：在保留第一轮行动方案有效措施的基础上，适当做了以下调整。</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1.强化学生的自然拼读意识。</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第一轮教学中，学生掌握了一些自然拼读规则，本轮教学中，教师要引导学生独立地、有意识地利用所学的自然拼读规则去拼读规则单词和记忆单词，同时，特别分析拼读不规则单词的音节，并对其加以特别记忆。</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2.重视词汇复习环节。 平时的课堂学习中，要增加词汇复习时间，每学完一课，保证利用一节课（40分钟）的时间在课堂上与学生一起复习单词，并且期末考试前保证充分的课堂复习。</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3.改善单词听写检查的方式。 平时的单词听写方式由抽查改为全部检查，并且课堂上，每次课的单词复习结束以后立刻进行听写检查。</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4.改善课下单词朗读训练模式。 将小组合作朗读单词和单词打卡结合起来。在学习新单词初期，采用小组合作朗读单词的方式，从而及时纠正学生错误发音。小组合作朗读单词是指将每班学生分成6组，每组6-7人，每组设1名组长，在单词学习初期，要求组长找课代表读单词，课代表负责纠正组长发音，保证组长发音准确，然后组员找组长读单词，组长负责纠正组员发音，保证组员发音准确。课代表收集易读错单词，课堂上教师集中进行带读训练，从而保证单词朗读的准确性。在学生基本掌握单词发音以后，采用微信群朗读单词的方式，具体操作方法同第一轮。</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5.增加词汇语境运用的训练。 平时的课堂上，设计词汇运用的训练题目，增加词汇语境运用的训练，提高学生在语境中灵活运用词汇的能力。</w:t>
      </w:r>
    </w:p>
    <w:p>
      <w:pPr>
        <w:spacing w:after="0" w:line="400" w:lineRule="exact"/>
        <w:ind w:firstLine="211" w:firstLineChars="100"/>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（二）效果评估</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在第二轮行动方案实施的过程中，笔者继续收集学生的微信群单词朗读语音资料，收集课代表对小组合作朗读单词中易读错的单词，观察学生的课堂表现，组织了4次单词听写活动，并及时对4次听写成绩进行了统计。鉴于期末考试对于词汇考查的题型有很大变动，笔者在期末考试前组织学生进行了一次词汇测验，并统计了词汇测验的成绩。经过本轮教学，笔者发现，学生的词汇学习情况有明显改善，教学效果显著，主要表现在以下三点：</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1.单词听写成绩在及格率和优秀率方面均有显著提高</w:t>
      </w:r>
      <w:r>
        <w:rPr>
          <w:rFonts w:hint="eastAsia" w:ascii="Times New Roman" w:hAnsi="Times New Roman" w:cs="Times New Roman" w:eastAsiaTheme="majorEastAsia"/>
          <w:sz w:val="21"/>
          <w:szCs w:val="21"/>
        </w:rPr>
        <w:t xml:space="preserve">。其中， </w:t>
      </w:r>
      <w:r>
        <w:rPr>
          <w:rFonts w:ascii="Times New Roman" w:hAnsi="Times New Roman" w:cs="Times New Roman" w:eastAsiaTheme="majorEastAsia"/>
          <w:sz w:val="21"/>
          <w:szCs w:val="21"/>
        </w:rPr>
        <w:t>前者超过90%，后者超过50%，如表4所示，与第一轮教学相比，平均及格率提高了7个百分点，平均优秀率提高了43个百分点。</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2.考查书写和语境运用的词汇测验成绩有了大幅度提高</w:t>
      </w:r>
      <w:r>
        <w:rPr>
          <w:rFonts w:hint="eastAsia" w:ascii="Times New Roman" w:hAnsi="Times New Roman" w:cs="Times New Roman" w:eastAsiaTheme="majorEastAsia"/>
          <w:sz w:val="21"/>
          <w:szCs w:val="21"/>
        </w:rPr>
        <w:t>。 其</w:t>
      </w:r>
      <w:r>
        <w:rPr>
          <w:rFonts w:ascii="Times New Roman" w:hAnsi="Times New Roman" w:cs="Times New Roman" w:eastAsiaTheme="majorEastAsia"/>
          <w:sz w:val="21"/>
          <w:szCs w:val="21"/>
        </w:rPr>
        <w:t>平均及格率和平均优秀率分别为92.7%和64.8%，如表5所示，分别比期中同题型的词汇测验成绩提高了61个和56个百分点。</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3.学生朗读单词的准确率持续上升，学生对拼读规则的意识有所增强。</w:t>
      </w:r>
    </w:p>
    <w:p>
      <w:pPr>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表4</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第二轮行动教学单词听写成绩</w:t>
      </w:r>
    </w:p>
    <w:tbl>
      <w:tblPr>
        <w:tblStyle w:val="6"/>
        <w:tblW w:w="853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6"/>
        <w:gridCol w:w="855"/>
        <w:gridCol w:w="915"/>
        <w:gridCol w:w="900"/>
        <w:gridCol w:w="885"/>
        <w:gridCol w:w="915"/>
        <w:gridCol w:w="915"/>
        <w:gridCol w:w="870"/>
        <w:gridCol w:w="95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Merge w:val="restart"/>
            <w:tcBorders>
              <w:top w:val="single" w:color="auto" w:sz="4" w:space="0"/>
            </w:tcBorders>
            <w:vAlign w:val="center"/>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分数段</w:t>
            </w:r>
          </w:p>
        </w:tc>
        <w:tc>
          <w:tcPr>
            <w:tcW w:w="1770" w:type="dxa"/>
            <w:gridSpan w:val="2"/>
            <w:tcBorders>
              <w:top w:val="single" w:color="auto"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单词听写1</w:t>
            </w:r>
          </w:p>
        </w:tc>
        <w:tc>
          <w:tcPr>
            <w:tcW w:w="1785" w:type="dxa"/>
            <w:gridSpan w:val="2"/>
            <w:tcBorders>
              <w:top w:val="single" w:color="auto"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单词听写2</w:t>
            </w:r>
          </w:p>
        </w:tc>
        <w:tc>
          <w:tcPr>
            <w:tcW w:w="1830" w:type="dxa"/>
            <w:gridSpan w:val="2"/>
            <w:tcBorders>
              <w:top w:val="single" w:color="auto"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单词听写3</w:t>
            </w:r>
          </w:p>
        </w:tc>
        <w:tc>
          <w:tcPr>
            <w:tcW w:w="1821" w:type="dxa"/>
            <w:gridSpan w:val="2"/>
            <w:tcBorders>
              <w:top w:val="single" w:color="auto"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单词听写4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Merge w:val="continue"/>
            <w:tcBorders>
              <w:bottom w:val="single" w:color="auto" w:sz="4" w:space="0"/>
            </w:tcBorders>
            <w:vAlign w:val="bottom"/>
          </w:tcPr>
          <w:p>
            <w:pPr>
              <w:spacing w:after="0" w:line="400" w:lineRule="exact"/>
              <w:rPr>
                <w:rFonts w:ascii="宋体" w:hAnsi="宋体" w:cs="Arial"/>
                <w:szCs w:val="21"/>
              </w:rPr>
            </w:pPr>
          </w:p>
        </w:tc>
        <w:tc>
          <w:tcPr>
            <w:tcW w:w="855" w:type="dxa"/>
            <w:tcBorders>
              <w:top w:val="single" w:color="auto" w:sz="4" w:space="0"/>
              <w:bottom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人数</w:t>
            </w:r>
          </w:p>
        </w:tc>
        <w:tc>
          <w:tcPr>
            <w:tcW w:w="915" w:type="dxa"/>
            <w:tcBorders>
              <w:top w:val="single" w:color="auto" w:sz="4" w:space="0"/>
              <w:left w:val="dotted" w:color="000000"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百分比</w:t>
            </w:r>
          </w:p>
        </w:tc>
        <w:tc>
          <w:tcPr>
            <w:tcW w:w="900" w:type="dxa"/>
            <w:tcBorders>
              <w:top w:val="single" w:color="auto" w:sz="4" w:space="0"/>
              <w:bottom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人数</w:t>
            </w:r>
          </w:p>
        </w:tc>
        <w:tc>
          <w:tcPr>
            <w:tcW w:w="885" w:type="dxa"/>
            <w:tcBorders>
              <w:top w:val="single" w:color="auto" w:sz="4" w:space="0"/>
              <w:left w:val="dotted" w:color="000000"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百分比</w:t>
            </w:r>
          </w:p>
        </w:tc>
        <w:tc>
          <w:tcPr>
            <w:tcW w:w="915" w:type="dxa"/>
            <w:tcBorders>
              <w:top w:val="single" w:color="auto" w:sz="4" w:space="0"/>
              <w:bottom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人数</w:t>
            </w:r>
          </w:p>
        </w:tc>
        <w:tc>
          <w:tcPr>
            <w:tcW w:w="915" w:type="dxa"/>
            <w:tcBorders>
              <w:top w:val="single" w:color="auto" w:sz="4" w:space="0"/>
              <w:left w:val="dotted" w:color="000000"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百分比</w:t>
            </w:r>
          </w:p>
        </w:tc>
        <w:tc>
          <w:tcPr>
            <w:tcW w:w="870" w:type="dxa"/>
            <w:tcBorders>
              <w:top w:val="single" w:color="auto" w:sz="4" w:space="0"/>
              <w:bottom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人数</w:t>
            </w:r>
          </w:p>
        </w:tc>
        <w:tc>
          <w:tcPr>
            <w:tcW w:w="951" w:type="dxa"/>
            <w:tcBorders>
              <w:top w:val="single" w:color="auto" w:sz="4" w:space="0"/>
              <w:left w:val="dotted" w:color="000000" w:sz="4" w:space="0"/>
              <w:bottom w:val="single" w:color="auto"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百分比</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Borders>
              <w:top w:val="single" w:color="auto" w:sz="4" w:space="0"/>
            </w:tcBorders>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100分</w:t>
            </w:r>
          </w:p>
        </w:tc>
        <w:tc>
          <w:tcPr>
            <w:tcW w:w="855" w:type="dxa"/>
            <w:tcBorders>
              <w:top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24</w:t>
            </w:r>
          </w:p>
        </w:tc>
        <w:tc>
          <w:tcPr>
            <w:tcW w:w="91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23%</w:t>
            </w:r>
          </w:p>
        </w:tc>
        <w:tc>
          <w:tcPr>
            <w:tcW w:w="900" w:type="dxa"/>
            <w:tcBorders>
              <w:top w:val="single" w:color="auto" w:sz="4" w:space="0"/>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27</w:t>
            </w:r>
          </w:p>
        </w:tc>
        <w:tc>
          <w:tcPr>
            <w:tcW w:w="88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25.2%</w:t>
            </w:r>
          </w:p>
        </w:tc>
        <w:tc>
          <w:tcPr>
            <w:tcW w:w="915" w:type="dxa"/>
            <w:tcBorders>
              <w:top w:val="single" w:color="auto" w:sz="4" w:space="0"/>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29</w:t>
            </w:r>
          </w:p>
        </w:tc>
        <w:tc>
          <w:tcPr>
            <w:tcW w:w="915"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28.2%</w:t>
            </w:r>
          </w:p>
        </w:tc>
        <w:tc>
          <w:tcPr>
            <w:tcW w:w="870" w:type="dxa"/>
            <w:tcBorders>
              <w:top w:val="single" w:color="auto" w:sz="4" w:space="0"/>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38</w:t>
            </w:r>
          </w:p>
        </w:tc>
        <w:tc>
          <w:tcPr>
            <w:tcW w:w="951" w:type="dxa"/>
            <w:tcBorders>
              <w:top w:val="single" w:color="auto" w:sz="4" w:space="0"/>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38.4%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90-99分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40</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39%</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24</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22.4%</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39</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37.9%</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27</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27.3%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80-89分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12</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12%</w:t>
            </w:r>
          </w:p>
        </w:tc>
        <w:tc>
          <w:tcPr>
            <w:tcW w:w="90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14</w:t>
            </w:r>
          </w:p>
        </w:tc>
        <w:tc>
          <w:tcPr>
            <w:tcW w:w="88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13.1%</w:t>
            </w:r>
          </w:p>
        </w:tc>
        <w:tc>
          <w:tcPr>
            <w:tcW w:w="91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13</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12.6%</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11</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60-79分</w:t>
            </w:r>
          </w:p>
        </w:tc>
        <w:tc>
          <w:tcPr>
            <w:tcW w:w="855"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21</w:t>
            </w:r>
          </w:p>
        </w:tc>
        <w:tc>
          <w:tcPr>
            <w:tcW w:w="915" w:type="dxa"/>
            <w:tcBorders>
              <w:lef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20%</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32</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29.9%</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18</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17.5%</w:t>
            </w:r>
          </w:p>
        </w:tc>
        <w:tc>
          <w:tcPr>
            <w:tcW w:w="870" w:type="dxa"/>
            <w:tcBorders>
              <w:right w:val="dotted" w:color="000000" w:sz="4" w:space="0"/>
            </w:tcBorders>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13</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13.1%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﹤60</w:t>
            </w:r>
          </w:p>
        </w:tc>
        <w:tc>
          <w:tcPr>
            <w:tcW w:w="85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w:t>
            </w:r>
          </w:p>
        </w:tc>
        <w:tc>
          <w:tcPr>
            <w:tcW w:w="90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w:t>
            </w:r>
          </w:p>
        </w:tc>
        <w:tc>
          <w:tcPr>
            <w:tcW w:w="88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9.3%</w:t>
            </w:r>
          </w:p>
        </w:tc>
        <w:tc>
          <w:tcPr>
            <w:tcW w:w="915"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w:t>
            </w:r>
          </w:p>
        </w:tc>
        <w:tc>
          <w:tcPr>
            <w:tcW w:w="915"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3.9%</w:t>
            </w:r>
          </w:p>
        </w:tc>
        <w:tc>
          <w:tcPr>
            <w:tcW w:w="870" w:type="dxa"/>
            <w:tcBorders>
              <w:righ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w:t>
            </w:r>
          </w:p>
        </w:tc>
        <w:tc>
          <w:tcPr>
            <w:tcW w:w="951" w:type="dxa"/>
            <w:tcBorders>
              <w:left w:val="dotted" w:color="000000" w:sz="4" w:space="0"/>
            </w:tcBorders>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有效人数</w:t>
            </w:r>
          </w:p>
        </w:tc>
        <w:tc>
          <w:tcPr>
            <w:tcW w:w="1770"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103</w:t>
            </w:r>
          </w:p>
        </w:tc>
        <w:tc>
          <w:tcPr>
            <w:tcW w:w="1785"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107</w:t>
            </w:r>
          </w:p>
        </w:tc>
        <w:tc>
          <w:tcPr>
            <w:tcW w:w="1830"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103</w:t>
            </w:r>
          </w:p>
        </w:tc>
        <w:tc>
          <w:tcPr>
            <w:tcW w:w="1821" w:type="dxa"/>
            <w:gridSpan w:val="2"/>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及格率</w:t>
            </w:r>
          </w:p>
        </w:tc>
        <w:tc>
          <w:tcPr>
            <w:tcW w:w="177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94.0%</w:t>
            </w:r>
          </w:p>
        </w:tc>
        <w:tc>
          <w:tcPr>
            <w:tcW w:w="1785"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90.7%</w:t>
            </w:r>
          </w:p>
        </w:tc>
        <w:tc>
          <w:tcPr>
            <w:tcW w:w="183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96.1%</w:t>
            </w:r>
          </w:p>
        </w:tc>
        <w:tc>
          <w:tcPr>
            <w:tcW w:w="1821"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89.9%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优秀率</w:t>
            </w:r>
          </w:p>
        </w:tc>
        <w:tc>
          <w:tcPr>
            <w:tcW w:w="177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62.0%</w:t>
            </w:r>
          </w:p>
        </w:tc>
        <w:tc>
          <w:tcPr>
            <w:tcW w:w="1785"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47.6%</w:t>
            </w:r>
          </w:p>
        </w:tc>
        <w:tc>
          <w:tcPr>
            <w:tcW w:w="1830"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66.6%</w:t>
            </w:r>
          </w:p>
        </w:tc>
        <w:tc>
          <w:tcPr>
            <w:tcW w:w="1821" w:type="dxa"/>
            <w:gridSpan w:val="2"/>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总有效人数</w:t>
            </w:r>
          </w:p>
        </w:tc>
        <w:tc>
          <w:tcPr>
            <w:tcW w:w="7206" w:type="dxa"/>
            <w:gridSpan w:val="8"/>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412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平均及格率</w:t>
            </w:r>
          </w:p>
        </w:tc>
        <w:tc>
          <w:tcPr>
            <w:tcW w:w="7206" w:type="dxa"/>
            <w:gridSpan w:val="8"/>
            <w:vAlign w:val="bottom"/>
          </w:tcPr>
          <w:p>
            <w:pPr>
              <w:adjustRightInd/>
              <w:snapToGrid/>
              <w:spacing w:after="0" w:line="400" w:lineRule="exact"/>
              <w:jc w:val="center"/>
              <w:rPr>
                <w:rFonts w:ascii="宋体" w:hAnsi="宋体" w:cs="Arial"/>
                <w:szCs w:val="21"/>
              </w:rPr>
            </w:pPr>
            <w:r>
              <w:rPr>
                <w:rFonts w:ascii="Times New Roman" w:hAnsi="Times New Roman" w:cs="Times New Roman" w:eastAsiaTheme="majorEastAsia"/>
                <w:sz w:val="21"/>
                <w:szCs w:val="21"/>
              </w:rPr>
              <w:t>92.3%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326" w:type="dxa"/>
            <w:vAlign w:val="bottom"/>
          </w:tcPr>
          <w:p>
            <w:pPr>
              <w:adjustRightInd/>
              <w:snapToGrid/>
              <w:spacing w:after="0" w:line="400" w:lineRule="exact"/>
              <w:rPr>
                <w:rFonts w:ascii="宋体" w:hAnsi="宋体" w:cs="Arial"/>
                <w:szCs w:val="21"/>
              </w:rPr>
            </w:pPr>
            <w:r>
              <w:rPr>
                <w:rFonts w:ascii="Times New Roman" w:hAnsi="Times New Roman" w:cs="Times New Roman" w:eastAsiaTheme="majorEastAsia"/>
                <w:sz w:val="21"/>
                <w:szCs w:val="21"/>
              </w:rPr>
              <w:t>平均优秀率</w:t>
            </w:r>
          </w:p>
        </w:tc>
        <w:tc>
          <w:tcPr>
            <w:tcW w:w="7206" w:type="dxa"/>
            <w:gridSpan w:val="8"/>
            <w:vAlign w:val="bottom"/>
          </w:tcPr>
          <w:p>
            <w:pPr>
              <w:adjustRightInd/>
              <w:snapToGrid/>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60.4%</w:t>
            </w:r>
          </w:p>
        </w:tc>
      </w:tr>
    </w:tbl>
    <w:p>
      <w:pPr>
        <w:spacing w:after="0" w:line="400" w:lineRule="exact"/>
        <w:jc w:val="center"/>
        <w:rPr>
          <w:rFonts w:ascii="Times New Roman" w:hAnsi="Times New Roman" w:cs="Times New Roman" w:eastAsiaTheme="majorEastAsia"/>
          <w:sz w:val="21"/>
          <w:szCs w:val="21"/>
        </w:rPr>
      </w:pPr>
      <w:r>
        <w:rPr>
          <w:rFonts w:ascii="Times New Roman" w:hAnsi="Times New Roman" w:cs="Times New Roman" w:eastAsiaTheme="majorEastAsia"/>
          <w:sz w:val="21"/>
          <w:szCs w:val="21"/>
        </w:rPr>
        <w:t>表5</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第二轮行动教学研究词汇测验成绩</w:t>
      </w:r>
    </w:p>
    <w:tbl>
      <w:tblPr>
        <w:tblStyle w:val="6"/>
        <w:tblW w:w="7892"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1"/>
        <w:gridCol w:w="2565"/>
        <w:gridCol w:w="28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61" w:type="dxa"/>
            <w:tcBorders>
              <w:top w:val="single" w:color="auto" w:sz="4" w:space="0"/>
              <w:bottom w:val="single" w:color="auto" w:sz="4" w:space="0"/>
            </w:tcBorders>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题型</w:t>
            </w:r>
          </w:p>
        </w:tc>
        <w:tc>
          <w:tcPr>
            <w:tcW w:w="2565" w:type="dxa"/>
            <w:tcBorders>
              <w:top w:val="single" w:color="auto" w:sz="4" w:space="0"/>
              <w:bottom w:val="single" w:color="auto" w:sz="4" w:space="0"/>
            </w:tcBorders>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填空</w:t>
            </w:r>
          </w:p>
        </w:tc>
        <w:tc>
          <w:tcPr>
            <w:tcW w:w="2866" w:type="dxa"/>
            <w:tcBorders>
              <w:top w:val="single" w:color="auto" w:sz="4" w:space="0"/>
              <w:bottom w:val="single" w:color="auto" w:sz="4" w:space="0"/>
            </w:tcBorders>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单项选择</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61" w:type="dxa"/>
            <w:tcBorders>
              <w:top w:val="single" w:color="auto" w:sz="4" w:space="0"/>
            </w:tcBorders>
          </w:tcPr>
          <w:p>
            <w:pPr>
              <w:spacing w:after="0" w:line="400" w:lineRule="exact"/>
              <w:rPr>
                <w:rFonts w:ascii="宋体" w:hAnsi="宋体" w:cs="Arial"/>
                <w:szCs w:val="21"/>
              </w:rPr>
            </w:pPr>
            <w:r>
              <w:rPr>
                <w:rFonts w:ascii="Times New Roman" w:hAnsi="Times New Roman" w:cs="Times New Roman" w:eastAsiaTheme="majorEastAsia"/>
                <w:sz w:val="21"/>
                <w:szCs w:val="21"/>
              </w:rPr>
              <w:t>及格人数</w:t>
            </w:r>
          </w:p>
        </w:tc>
        <w:tc>
          <w:tcPr>
            <w:tcW w:w="2565" w:type="dxa"/>
            <w:tcBorders>
              <w:top w:val="single" w:color="auto" w:sz="4" w:space="0"/>
            </w:tcBorders>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114</w:t>
            </w:r>
          </w:p>
        </w:tc>
        <w:tc>
          <w:tcPr>
            <w:tcW w:w="2866" w:type="dxa"/>
            <w:tcBorders>
              <w:top w:val="single" w:color="auto" w:sz="4" w:space="0"/>
            </w:tcBorders>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优秀人数（90分以上）</w:t>
            </w:r>
          </w:p>
        </w:tc>
        <w:tc>
          <w:tcPr>
            <w:tcW w:w="2565"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97</w:t>
            </w:r>
          </w:p>
        </w:tc>
        <w:tc>
          <w:tcPr>
            <w:tcW w:w="2866"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53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及格率</w:t>
            </w:r>
          </w:p>
        </w:tc>
        <w:tc>
          <w:tcPr>
            <w:tcW w:w="2565"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98.3%</w:t>
            </w:r>
          </w:p>
        </w:tc>
        <w:tc>
          <w:tcPr>
            <w:tcW w:w="2866"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87.1%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优秀率</w:t>
            </w:r>
          </w:p>
        </w:tc>
        <w:tc>
          <w:tcPr>
            <w:tcW w:w="2565"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83.6%</w:t>
            </w:r>
          </w:p>
        </w:tc>
        <w:tc>
          <w:tcPr>
            <w:tcW w:w="2866" w:type="dxa"/>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45.7%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平均及格率</w:t>
            </w:r>
          </w:p>
        </w:tc>
        <w:tc>
          <w:tcPr>
            <w:tcW w:w="5431" w:type="dxa"/>
            <w:gridSpan w:val="2"/>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92.7%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0" w:hRule="atLeast"/>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平均优秀率</w:t>
            </w:r>
          </w:p>
        </w:tc>
        <w:tc>
          <w:tcPr>
            <w:tcW w:w="5431" w:type="dxa"/>
            <w:gridSpan w:val="2"/>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64.8%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5" w:hRule="atLeast"/>
          <w:jc w:val="center"/>
        </w:trPr>
        <w:tc>
          <w:tcPr>
            <w:tcW w:w="2461" w:type="dxa"/>
          </w:tcPr>
          <w:p>
            <w:pPr>
              <w:spacing w:after="0" w:line="400" w:lineRule="exact"/>
              <w:rPr>
                <w:rFonts w:ascii="宋体" w:hAnsi="宋体" w:cs="Arial"/>
                <w:szCs w:val="21"/>
              </w:rPr>
            </w:pPr>
            <w:r>
              <w:rPr>
                <w:rFonts w:ascii="Times New Roman" w:hAnsi="Times New Roman" w:cs="Times New Roman" w:eastAsiaTheme="majorEastAsia"/>
                <w:sz w:val="21"/>
                <w:szCs w:val="21"/>
              </w:rPr>
              <w:t>总有效人数</w:t>
            </w:r>
          </w:p>
        </w:tc>
        <w:tc>
          <w:tcPr>
            <w:tcW w:w="5431" w:type="dxa"/>
            <w:gridSpan w:val="2"/>
          </w:tcPr>
          <w:p>
            <w:pPr>
              <w:spacing w:after="0" w:line="400" w:lineRule="exact"/>
              <w:jc w:val="center"/>
              <w:rPr>
                <w:rFonts w:ascii="宋体" w:hAnsi="宋体" w:cs="Arial"/>
                <w:szCs w:val="21"/>
              </w:rPr>
            </w:pPr>
            <w:r>
              <w:rPr>
                <w:rFonts w:ascii="Times New Roman" w:hAnsi="Times New Roman" w:cs="Times New Roman" w:eastAsiaTheme="majorEastAsia"/>
                <w:sz w:val="21"/>
                <w:szCs w:val="21"/>
              </w:rPr>
              <w:t>116</w:t>
            </w:r>
          </w:p>
        </w:tc>
      </w:tr>
    </w:tbl>
    <w:p>
      <w:pPr>
        <w:spacing w:after="0" w:line="400" w:lineRule="exact"/>
        <w:ind w:firstLine="422" w:firstLineChars="200"/>
        <w:rPr>
          <w:rFonts w:ascii="Times New Roman" w:hAnsi="Times New Roman" w:cs="Times New Roman" w:eastAsiaTheme="majorEastAsia"/>
          <w:b/>
          <w:sz w:val="21"/>
          <w:szCs w:val="21"/>
        </w:rPr>
      </w:pPr>
      <w:r>
        <w:rPr>
          <w:rFonts w:ascii="Times New Roman" w:hAnsi="Times New Roman" w:cs="Times New Roman" w:eastAsiaTheme="majorEastAsia"/>
          <w:b/>
          <w:sz w:val="21"/>
          <w:szCs w:val="21"/>
        </w:rPr>
        <w:t>（三）教学反思</w:t>
      </w:r>
    </w:p>
    <w:p>
      <w:pPr>
        <w:spacing w:after="0" w:line="400" w:lineRule="exact"/>
        <w:ind w:firstLine="420" w:firstLineChars="200"/>
        <w:jc w:val="both"/>
        <w:rPr>
          <w:rFonts w:ascii="Times New Roman" w:hAnsi="Times New Roman" w:cs="Times New Roman" w:eastAsiaTheme="majorEastAsia"/>
          <w:sz w:val="21"/>
          <w:szCs w:val="21"/>
        </w:rPr>
      </w:pPr>
      <w:r>
        <w:rPr>
          <w:rFonts w:ascii="Times New Roman" w:hAnsi="Times New Roman" w:cs="Times New Roman" w:eastAsiaTheme="majorEastAsia"/>
          <w:sz w:val="21"/>
          <w:szCs w:val="21"/>
        </w:rPr>
        <w:t>针对上述学生所取得的成绩，笔者进行了反思。首先，小组合作朗读单词的效果取得了预期的效果，弥补了微信群单词朗读不能及时纠正发音的弊端，同时小组合作朗读单词有助于激发学生学习英语的积极性，增加学习英语的趣味性，经过对少数学生的访谈得知，学生比较喜欢这种朗读单词的方式。其次，每次课结束前抽出</w:t>
      </w:r>
      <w:r>
        <w:rPr>
          <w:rFonts w:hint="eastAsia" w:ascii="Times New Roman" w:hAnsi="Times New Roman" w:cs="Times New Roman" w:eastAsiaTheme="majorEastAsia"/>
          <w:sz w:val="21"/>
          <w:szCs w:val="21"/>
        </w:rPr>
        <w:t>1</w:t>
      </w:r>
      <w:r>
        <w:rPr>
          <w:rFonts w:ascii="Times New Roman" w:hAnsi="Times New Roman" w:cs="Times New Roman" w:eastAsiaTheme="majorEastAsia"/>
          <w:sz w:val="21"/>
          <w:szCs w:val="21"/>
        </w:rPr>
        <w:t>课时的词汇进行课堂复习、并且当堂进行单词听写的效果较好，这样有助于提高学生复习单词的专注度和记忆效果。再次，词汇测验前利用充足的时间进行复习，保障了学生学习词汇的效果。最后，词汇复习中，对词汇语境运用的训练在一定程度上提高了学生在语境中运用词汇的能力。</w:t>
      </w:r>
    </w:p>
    <w:p>
      <w:pPr>
        <w:spacing w:after="0" w:line="400" w:lineRule="exact"/>
        <w:ind w:firstLine="211" w:firstLineChars="100"/>
        <w:rPr>
          <w:rFonts w:ascii="Times New Roman" w:hAnsi="Times New Roman" w:cs="Times New Roman" w:eastAsiaTheme="majorEastAsia"/>
          <w:b/>
          <w:sz w:val="24"/>
          <w:szCs w:val="24"/>
        </w:rPr>
      </w:pPr>
      <w:r>
        <w:rPr>
          <w:rFonts w:ascii="Times New Roman" w:hAnsi="Times New Roman" w:cs="Times New Roman" w:eastAsiaTheme="majorEastAsia"/>
          <w:b/>
          <w:sz w:val="21"/>
          <w:szCs w:val="21"/>
        </w:rPr>
        <w:t xml:space="preserve">   </w:t>
      </w:r>
      <w:r>
        <w:rPr>
          <w:rFonts w:ascii="Times New Roman" w:hAnsi="Times New Roman" w:cs="Times New Roman" w:eastAsiaTheme="majorEastAsia"/>
          <w:b/>
          <w:sz w:val="24"/>
          <w:szCs w:val="24"/>
        </w:rPr>
        <w:t>五、结语</w:t>
      </w:r>
    </w:p>
    <w:p>
      <w:pPr>
        <w:spacing w:after="0" w:line="4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本文记录了七年贯通制高二年级学生开展的旨在提高单词朗读及记忆准确率的英语词汇教学的行动研究。这项持续两轮的行动研究旨在改善贯通制学生单词朗读准确率低、单词记忆困难和单词书写准确率低的问题。行动过程中，教师尝试使用了各种改善策略，经过教学实践，最终发现：(1)将自然拼读规则渗透到英语词汇教学中有助于学生以音促记，有助于提高学生朗读单词的准确率；(2)小组合作朗读单词和微信群朗读单词相结合的方式，比单一的微信群朗读单词效果更好，更能帮助学生及时纠正发音，而且小组合作朗读单词能够增加学生英语学习的趣味性和积极性；(3)每次课结束前安排</w:t>
      </w:r>
      <w:r>
        <w:rPr>
          <w:rFonts w:hint="eastAsia" w:ascii="Times New Roman" w:hAnsi="Times New Roman" w:cs="Times New Roman" w:eastAsiaTheme="majorEastAsia"/>
          <w:sz w:val="21"/>
          <w:szCs w:val="21"/>
        </w:rPr>
        <w:t>1</w:t>
      </w:r>
      <w:r>
        <w:rPr>
          <w:rFonts w:ascii="Times New Roman" w:hAnsi="Times New Roman" w:cs="Times New Roman" w:eastAsiaTheme="majorEastAsia"/>
          <w:sz w:val="21"/>
          <w:szCs w:val="21"/>
        </w:rPr>
        <w:t>课时的词汇复习并且采取当堂听写单词的方式较好；(4)词汇复习中的词汇语境运用的训练和各种词汇记忆策略的训练效果较好；(5)考试前安排充足的复习时间能帮助学生较全面地掌握所学词汇。因此，建议贯通制英语教师采用多种词汇教学策略，帮助学生准确朗读单词、准确书写单词、恰当运用单词。</w:t>
      </w:r>
    </w:p>
    <w:p>
      <w:pPr>
        <w:spacing w:after="0" w:line="400" w:lineRule="exact"/>
        <w:rPr>
          <w:rFonts w:ascii="Times New Roman" w:hAnsi="Times New Roman" w:cs="Times New Roman" w:eastAsiaTheme="minorEastAsia"/>
          <w:b/>
          <w:sz w:val="21"/>
          <w:szCs w:val="21"/>
        </w:rPr>
      </w:pPr>
      <w:r>
        <w:rPr>
          <w:rFonts w:ascii="Times New Roman" w:cs="Times New Roman" w:hAnsiTheme="minorEastAsia" w:eastAsiaTheme="minorEastAsia"/>
          <w:b/>
          <w:sz w:val="21"/>
          <w:szCs w:val="21"/>
        </w:rPr>
        <w:t>参考文献</w:t>
      </w:r>
    </w:p>
    <w:p>
      <w:pPr>
        <w:spacing w:after="0" w:line="400" w:lineRule="exact"/>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 xml:space="preserve">[1] </w:t>
      </w:r>
      <w:r>
        <w:rPr>
          <w:rFonts w:ascii="Times New Roman" w:hAnsi="Times New Roman" w:cs="Times New Roman" w:eastAsiaTheme="majorEastAsia"/>
          <w:sz w:val="21"/>
          <w:szCs w:val="21"/>
        </w:rPr>
        <w:t>Burns, A. Doing Action Research in English Language Teaching: A Guide for Practitioners</w:t>
      </w:r>
      <w:r>
        <w:rPr>
          <w:rFonts w:hint="eastAsia" w:ascii="Times New Roman" w:hAnsi="Times New Roman" w:cs="Times New Roman" w:eastAsiaTheme="majorEastAsia"/>
          <w:sz w:val="21"/>
          <w:szCs w:val="21"/>
        </w:rPr>
        <w:t xml:space="preserve"> </w:t>
      </w:r>
    </w:p>
    <w:p>
      <w:pPr>
        <w:spacing w:after="0" w:line="400" w:lineRule="exact"/>
        <w:ind w:left="-440" w:leftChars="-200"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[M]. Beijing: Foreign Language Teaching and Research Press, 2011</w:t>
      </w:r>
      <w:r>
        <w:rPr>
          <w:rFonts w:hint="eastAsia" w:ascii="Times New Roman" w:hAnsi="Times New Roman" w:cs="Times New Roman" w:eastAsiaTheme="majorEastAsia"/>
          <w:sz w:val="21"/>
          <w:szCs w:val="21"/>
        </w:rPr>
        <w:t>: 56</w:t>
      </w:r>
      <w:r>
        <w:rPr>
          <w:rFonts w:ascii="Times New Roman" w:hAnsi="Times New Roman" w:cs="Times New Roman" w:eastAsiaTheme="majorEastAsia"/>
          <w:sz w:val="21"/>
          <w:szCs w:val="21"/>
        </w:rPr>
        <w:t>.</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Kemmis, S. &amp; R. McTaggart. The Action Research Planner (3</w:t>
      </w:r>
      <w:r>
        <w:rPr>
          <w:rFonts w:ascii="Times New Roman" w:hAnsi="Times New Roman" w:cs="Times New Roman" w:eastAsiaTheme="majorEastAsia"/>
          <w:sz w:val="21"/>
          <w:szCs w:val="21"/>
          <w:vertAlign w:val="superscript"/>
        </w:rPr>
        <w:t>rd</w:t>
      </w:r>
      <w:r>
        <w:rPr>
          <w:rFonts w:ascii="Times New Roman" w:hAnsi="Times New Roman" w:cs="Times New Roman" w:eastAsiaTheme="majorEastAsia"/>
          <w:sz w:val="21"/>
          <w:szCs w:val="21"/>
        </w:rPr>
        <w:t xml:space="preserve"> Ed.) [C] Geelong: Deakin </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University Press, 1988：6， 26.</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[3]</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高蕊.</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多模态视角下高中英语听力词汇教学的行动研究[D].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信阳：信阳师范学院，2018.</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[4]</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李彦华.</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元认知策略在高中英语词汇教学中应用的行动研究[D].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沈阳：东北师范大学，</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2009.</w:t>
      </w:r>
    </w:p>
    <w:p>
      <w:pPr>
        <w:numPr>
          <w:ilvl w:val="0"/>
          <w:numId w:val="2"/>
        </w:num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隋园.</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叙事教学法指导下的高中英语词汇教学的行动研究[D].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沈阳：沈阳师范大学，</w:t>
      </w:r>
    </w:p>
    <w:p>
      <w:pPr>
        <w:spacing w:after="0" w:line="400" w:lineRule="exact"/>
        <w:rPr>
          <w:rFonts w:ascii="Times New Roman" w:hAnsi="Times New Roman" w:cs="Times New Roman" w:eastAsiaTheme="majorEastAsia"/>
          <w:sz w:val="21"/>
          <w:szCs w:val="21"/>
        </w:rPr>
      </w:pPr>
      <w:r>
        <w:rPr>
          <w:rFonts w:ascii="Times New Roman" w:hAnsi="Times New Roman" w:cs="Times New Roman" w:eastAsiaTheme="majorEastAsia"/>
          <w:sz w:val="21"/>
          <w:szCs w:val="21"/>
        </w:rPr>
        <w:t>2017.</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[6]</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王光菊.</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基于组块理论的高中英语词汇教学的行动研究[D].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重庆：重庆师范大学，2017.</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[7]</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文秋芳. 提高“文献阅读与评价”课程质量的行动研究[J].</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中国外语教育,</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2012, (1)：32-39.</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[8]</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文秋芳，韩少杰. 英语教学研究方法与案例分析[M].</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上海：上海外语教育出版社，</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2011：74-75</w:t>
      </w:r>
      <w:r>
        <w:rPr>
          <w:rFonts w:hint="eastAsia" w:ascii="Times New Roman" w:hAnsi="Times New Roman" w:cs="Times New Roman" w:eastAsiaTheme="majorEastAsia"/>
          <w:sz w:val="21"/>
          <w:szCs w:val="21"/>
        </w:rPr>
        <w:t>.</w:t>
      </w:r>
    </w:p>
    <w:p>
      <w:pPr>
        <w:spacing w:after="0" w:line="400" w:lineRule="exact"/>
        <w:ind w:left="315" w:hanging="315" w:hangingChars="150"/>
        <w:rPr>
          <w:rFonts w:ascii="Times New Roman" w:hAnsi="Times New Roman" w:cs="Times New Roman" w:eastAsiaTheme="majorEastAsia"/>
          <w:sz w:val="21"/>
          <w:szCs w:val="21"/>
        </w:rPr>
      </w:pPr>
      <w:r>
        <w:rPr>
          <w:rFonts w:ascii="Times New Roman" w:hAnsi="Times New Roman" w:cs="Times New Roman" w:eastAsiaTheme="majorEastAsia"/>
          <w:sz w:val="21"/>
          <w:szCs w:val="21"/>
        </w:rPr>
        <w:t>[9]</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张凤坤.</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通过词汇墙促进高中英语词汇教学的行动研究[D].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沈阳：东北师范大学，2007.</w:t>
      </w:r>
    </w:p>
    <w:p>
      <w:pPr>
        <w:spacing w:after="0" w:line="400" w:lineRule="exact"/>
        <w:ind w:left="420" w:hanging="420" w:hanging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[10]</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郑宇希.</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语境理论指导下的高中英语词汇教学的行动研究[D].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天津：天津师范大学，</w:t>
      </w:r>
    </w:p>
    <w:p>
      <w:pPr>
        <w:spacing w:after="0" w:line="400" w:lineRule="exact"/>
        <w:ind w:left="420" w:hanging="420" w:hanging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2017.</w:t>
      </w:r>
    </w:p>
    <w:p>
      <w:pPr>
        <w:spacing w:after="0" w:line="400" w:lineRule="exact"/>
        <w:ind w:left="420" w:hanging="420" w:hanging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[11]</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周婷.</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情境教学法在高中英语词汇教学中的行动研究[D].</w:t>
      </w:r>
      <w:r>
        <w:rPr>
          <w:rFonts w:hint="eastAsia" w:ascii="Times New Roman" w:hAnsi="Times New Roman" w:cs="Times New Roman" w:eastAsiaTheme="majorEastAsia"/>
          <w:sz w:val="21"/>
          <w:szCs w:val="21"/>
        </w:rPr>
        <w:t xml:space="preserve"> </w:t>
      </w:r>
      <w:r>
        <w:rPr>
          <w:rFonts w:ascii="Times New Roman" w:hAnsi="Times New Roman" w:cs="Times New Roman" w:eastAsiaTheme="majorEastAsia"/>
          <w:sz w:val="21"/>
          <w:szCs w:val="21"/>
        </w:rPr>
        <w:t>贵州：贵州师范大学，2014.</w:t>
      </w: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p>
    <w:p>
      <w:pPr>
        <w:spacing w:after="0" w:line="400" w:lineRule="exact"/>
        <w:jc w:val="center"/>
        <w:rPr>
          <w:rFonts w:ascii="黑体" w:hAnsi="黑体" w:eastAsia="黑体"/>
          <w:b/>
          <w:sz w:val="32"/>
          <w:szCs w:val="32"/>
        </w:rPr>
      </w:pPr>
      <w:r>
        <w:rPr>
          <w:rFonts w:hint="eastAsia" w:ascii="黑体" w:hAnsi="黑体" w:eastAsia="黑体"/>
          <w:b/>
          <w:sz w:val="32"/>
          <w:szCs w:val="32"/>
        </w:rPr>
        <w:t>基于提高单词朗读及记忆准确率的</w:t>
      </w:r>
    </w:p>
    <w:p>
      <w:pPr>
        <w:spacing w:after="0" w:line="400" w:lineRule="exact"/>
        <w:jc w:val="center"/>
        <w:rPr>
          <w:rFonts w:ascii="黑体" w:hAnsi="黑体" w:eastAsia="黑体"/>
          <w:b/>
          <w:sz w:val="32"/>
          <w:szCs w:val="32"/>
        </w:rPr>
      </w:pPr>
      <w:r>
        <w:rPr>
          <w:rFonts w:hint="eastAsia" w:ascii="黑体" w:hAnsi="黑体" w:eastAsia="黑体"/>
          <w:b/>
          <w:sz w:val="32"/>
          <w:szCs w:val="32"/>
        </w:rPr>
        <w:t>英语词汇教学行动研究</w:t>
      </w:r>
    </w:p>
    <w:p>
      <w:pPr>
        <w:spacing w:after="0" w:line="4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任玉霞</w:t>
      </w:r>
      <w:r>
        <w:rPr>
          <w:rStyle w:val="17"/>
          <w:rFonts w:hint="eastAsia" w:asciiTheme="majorEastAsia" w:hAnsiTheme="majorEastAsia" w:eastAsiaTheme="majorEastAsia"/>
          <w:sz w:val="21"/>
          <w:szCs w:val="21"/>
        </w:rPr>
        <w:footnoteReference w:id="1"/>
      </w:r>
    </w:p>
    <w:p>
      <w:pPr>
        <w:spacing w:after="0" w:line="400"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（北京城市学院教育学部,</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北京 101309）</w:t>
      </w:r>
    </w:p>
    <w:p>
      <w:pPr>
        <w:spacing w:after="0" w:line="400" w:lineRule="exact"/>
        <w:rPr>
          <w:rFonts w:asciiTheme="majorEastAsia" w:hAnsiTheme="majorEastAsia" w:eastAsiaTheme="majorEastAsia"/>
          <w:sz w:val="21"/>
          <w:szCs w:val="21"/>
        </w:rPr>
      </w:pPr>
      <w:r>
        <w:rPr>
          <w:rFonts w:hint="eastAsia" w:asciiTheme="majorEastAsia" w:hAnsiTheme="majorEastAsia" w:eastAsiaTheme="majorEastAsia"/>
          <w:b/>
          <w:sz w:val="21"/>
          <w:szCs w:val="21"/>
        </w:rPr>
        <w:t>摘要：</w:t>
      </w:r>
      <w:r>
        <w:rPr>
          <w:rFonts w:hint="eastAsia" w:asciiTheme="majorEastAsia" w:hAnsiTheme="majorEastAsia" w:eastAsiaTheme="majorEastAsia"/>
          <w:sz w:val="21"/>
          <w:szCs w:val="21"/>
        </w:rPr>
        <w:t>“七年贯通制”学生基础阶段高二年级的学生在英语学习方面存在单词朗读和记忆准确率低的问题。针对这一问题，文章提出了一系列的改进策略，如将“自然拼读法”融入平时的课堂教学，引导学生掌握各种记忆策略，强化单词朗读和拼写训练，加强词汇语境运用训练等，并就这些改进策略进行了两轮的行动研究。研究结果表明，自然拼读法有助于学生掌握拼读规则，有助于提高其朗读单词的准确率，而单词朗读准确率的提高以及记忆策略的辅助使用有助于学生提高单词记忆的准确率。</w:t>
      </w:r>
    </w:p>
    <w:p>
      <w:pPr>
        <w:spacing w:after="0" w:line="400" w:lineRule="exact"/>
        <w:rPr>
          <w:rFonts w:asciiTheme="majorEastAsia" w:hAnsiTheme="majorEastAsia" w:eastAsiaTheme="majorEastAsia"/>
          <w:sz w:val="21"/>
          <w:szCs w:val="21"/>
        </w:rPr>
      </w:pPr>
      <w:r>
        <w:rPr>
          <w:rFonts w:hint="eastAsia" w:asciiTheme="majorEastAsia" w:hAnsiTheme="majorEastAsia" w:eastAsiaTheme="majorEastAsia"/>
          <w:b/>
          <w:sz w:val="21"/>
          <w:szCs w:val="21"/>
        </w:rPr>
        <w:t>关键词：</w:t>
      </w:r>
      <w:r>
        <w:rPr>
          <w:rFonts w:hint="eastAsia" w:asciiTheme="majorEastAsia" w:hAnsiTheme="majorEastAsia" w:eastAsiaTheme="majorEastAsia"/>
          <w:sz w:val="21"/>
          <w:szCs w:val="21"/>
        </w:rPr>
        <w:t>英语词汇；朗读；记忆；自然拼读；行动研究</w:t>
      </w:r>
    </w:p>
    <w:p>
      <w:pPr>
        <w:spacing w:after="0" w:line="400" w:lineRule="exact"/>
        <w:jc w:val="center"/>
        <w:rPr>
          <w:rFonts w:ascii="Times New Roman" w:hAnsi="Times New Roman" w:eastAsia="黑体" w:cs="Times New Roman"/>
          <w:bCs/>
          <w:sz w:val="21"/>
          <w:szCs w:val="21"/>
        </w:rPr>
      </w:pPr>
    </w:p>
    <w:p>
      <w:pPr>
        <w:spacing w:after="0" w:line="400" w:lineRule="exact"/>
        <w:jc w:val="center"/>
        <w:rPr>
          <w:rFonts w:ascii="黑体" w:hAnsi="黑体" w:eastAsia="黑体" w:cs="Times New Roman"/>
          <w:bCs/>
          <w:sz w:val="21"/>
          <w:szCs w:val="21"/>
        </w:rPr>
      </w:pPr>
      <w:r>
        <w:rPr>
          <w:rFonts w:ascii="Times New Roman" w:hAnsi="Times New Roman" w:eastAsia="黑体" w:cs="Times New Roman"/>
          <w:bCs/>
          <w:sz w:val="21"/>
          <w:szCs w:val="21"/>
        </w:rPr>
        <w:t xml:space="preserve">An Action Research on English Vocabulary Teaching Based on Improving the Accuracy of </w:t>
      </w:r>
      <w:r>
        <w:rPr>
          <w:rFonts w:hint="eastAsia" w:ascii="Times New Roman" w:hAnsi="Times New Roman" w:eastAsia="黑体" w:cs="Times New Roman"/>
          <w:bCs/>
          <w:sz w:val="21"/>
          <w:szCs w:val="21"/>
        </w:rPr>
        <w:t>English Words</w:t>
      </w:r>
      <w:r>
        <w:rPr>
          <w:rFonts w:ascii="Times New Roman" w:hAnsi="Times New Roman" w:eastAsia="黑体" w:cs="Times New Roman"/>
          <w:bCs/>
          <w:sz w:val="21"/>
          <w:szCs w:val="21"/>
        </w:rPr>
        <w:t xml:space="preserve"> Reading and Memorizing</w:t>
      </w:r>
    </w:p>
    <w:p>
      <w:pPr>
        <w:spacing w:after="0" w:line="4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R</w:t>
      </w:r>
      <w:r>
        <w:rPr>
          <w:rFonts w:hint="eastAsia" w:ascii="Times New Roman" w:hAnsi="Times New Roman" w:cs="Times New Roman" w:eastAsiaTheme="minorEastAsia"/>
          <w:bCs/>
          <w:sz w:val="21"/>
          <w:szCs w:val="21"/>
        </w:rPr>
        <w:t>EN</w:t>
      </w:r>
      <w:r>
        <w:rPr>
          <w:rFonts w:ascii="Times New Roman" w:hAnsi="Times New Roman" w:cs="Times New Roman" w:eastAsiaTheme="minorEastAsia"/>
          <w:bCs/>
          <w:sz w:val="21"/>
          <w:szCs w:val="21"/>
        </w:rPr>
        <w:t xml:space="preserve"> Yuxia</w:t>
      </w:r>
    </w:p>
    <w:p>
      <w:pPr>
        <w:spacing w:after="0" w:line="4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(School</w:t>
      </w:r>
      <w:r>
        <w:rPr>
          <w:rFonts w:hint="eastAsia" w:ascii="Times New Roman" w:hAnsi="Times New Roman" w:cs="Times New Roman" w:eastAsiaTheme="minorEastAsia"/>
          <w:bCs/>
          <w:sz w:val="21"/>
          <w:szCs w:val="21"/>
        </w:rPr>
        <w:t xml:space="preserve"> of Education, </w:t>
      </w:r>
      <w:r>
        <w:rPr>
          <w:rFonts w:ascii="Times New Roman" w:hAnsi="Times New Roman" w:cs="Times New Roman" w:eastAsiaTheme="minorEastAsia"/>
          <w:bCs/>
          <w:sz w:val="21"/>
          <w:szCs w:val="21"/>
        </w:rPr>
        <w:t>Beijing City University</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 xml:space="preserve"> Beijing</w:t>
      </w:r>
      <w:r>
        <w:rPr>
          <w:rFonts w:hint="eastAsia" w:ascii="Times New Roman" w:hAnsi="Times New Roman" w:cs="Times New Roman" w:eastAsiaTheme="minorEastAsia"/>
          <w:bCs/>
          <w:sz w:val="21"/>
          <w:szCs w:val="21"/>
        </w:rPr>
        <w:t xml:space="preserve"> </w:t>
      </w:r>
      <w:r>
        <w:rPr>
          <w:rFonts w:ascii="Times New Roman" w:hAnsi="Times New Roman" w:cs="Times New Roman" w:eastAsiaTheme="minorEastAsia"/>
          <w:bCs/>
          <w:sz w:val="21"/>
          <w:szCs w:val="21"/>
        </w:rPr>
        <w:t>101309</w:t>
      </w:r>
      <w:r>
        <w:rPr>
          <w:rFonts w:hint="eastAsia" w:ascii="Times New Roman" w:hAnsi="Times New Roman" w:cs="Times New Roman" w:eastAsiaTheme="minorEastAsia"/>
          <w:bCs/>
          <w:sz w:val="21"/>
          <w:szCs w:val="21"/>
        </w:rPr>
        <w:t>, China</w:t>
      </w:r>
      <w:r>
        <w:rPr>
          <w:rFonts w:ascii="Times New Roman" w:hAnsi="Times New Roman" w:cs="Times New Roman" w:eastAsiaTheme="minorEastAsia"/>
          <w:bCs/>
          <w:sz w:val="21"/>
          <w:szCs w:val="21"/>
        </w:rPr>
        <w:t>)</w:t>
      </w:r>
    </w:p>
    <w:p>
      <w:pPr>
        <w:spacing w:after="0" w:line="400" w:lineRule="exact"/>
        <w:ind w:firstLine="422" w:firstLineChars="200"/>
        <w:jc w:val="both"/>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 xml:space="preserve">Abstract: </w:t>
      </w:r>
      <w:r>
        <w:rPr>
          <w:rFonts w:ascii="Times New Roman" w:hAnsi="Times New Roman" w:cs="Times New Roman" w:eastAsiaTheme="minorEastAsia"/>
          <w:sz w:val="21"/>
          <w:szCs w:val="21"/>
        </w:rPr>
        <w:t xml:space="preserve">The senior high school students in Grade 2 </w:t>
      </w:r>
      <w:r>
        <w:rPr>
          <w:rFonts w:hint="eastAsia" w:ascii="Times New Roman" w:hAnsi="Times New Roman" w:cs="Times New Roman" w:eastAsiaTheme="minorEastAsia"/>
          <w:sz w:val="21"/>
          <w:szCs w:val="21"/>
        </w:rPr>
        <w:t>at</w:t>
      </w:r>
      <w:r>
        <w:rPr>
          <w:rFonts w:ascii="Times New Roman" w:hAnsi="Times New Roman" w:cs="Times New Roman" w:eastAsiaTheme="minorEastAsia"/>
          <w:sz w:val="21"/>
          <w:szCs w:val="21"/>
        </w:rPr>
        <w:t xml:space="preserve"> Beijing City University have problems </w:t>
      </w:r>
      <w:r>
        <w:rPr>
          <w:rFonts w:hint="eastAsia" w:ascii="Times New Roman" w:hAnsi="Times New Roman" w:cs="Times New Roman" w:eastAsiaTheme="minorEastAsia"/>
          <w:sz w:val="21"/>
          <w:szCs w:val="21"/>
        </w:rPr>
        <w:t>in</w:t>
      </w:r>
      <w:r>
        <w:rPr>
          <w:rFonts w:ascii="Times New Roman" w:hAnsi="Times New Roman" w:cs="Times New Roman" w:eastAsiaTheme="minorEastAsia"/>
          <w:sz w:val="21"/>
          <w:szCs w:val="21"/>
        </w:rPr>
        <w:t xml:space="preserve"> reading and memorizing </w:t>
      </w:r>
      <w:r>
        <w:rPr>
          <w:rFonts w:hint="eastAsia" w:ascii="Times New Roman" w:hAnsi="Times New Roman" w:cs="Times New Roman" w:eastAsiaTheme="minorEastAsia"/>
          <w:sz w:val="21"/>
          <w:szCs w:val="21"/>
        </w:rPr>
        <w:t xml:space="preserve">English </w:t>
      </w:r>
      <w:r>
        <w:rPr>
          <w:rFonts w:ascii="Times New Roman" w:hAnsi="Times New Roman" w:cs="Times New Roman" w:eastAsiaTheme="minorEastAsia"/>
          <w:sz w:val="21"/>
          <w:szCs w:val="21"/>
        </w:rPr>
        <w:t xml:space="preserve">words accurately. </w:t>
      </w:r>
      <w:r>
        <w:rPr>
          <w:rFonts w:hint="eastAsia" w:ascii="Times New Roman" w:hAnsi="Times New Roman" w:cs="Times New Roman" w:eastAsiaTheme="minorEastAsia"/>
          <w:sz w:val="21"/>
          <w:szCs w:val="21"/>
        </w:rPr>
        <w:t>Thus, this paper</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proposed</w:t>
      </w:r>
      <w:r>
        <w:rPr>
          <w:rFonts w:ascii="Times New Roman" w:hAnsi="Times New Roman" w:cs="Times New Roman" w:eastAsiaTheme="minorEastAsia"/>
          <w:sz w:val="21"/>
          <w:szCs w:val="21"/>
        </w:rPr>
        <w:t xml:space="preserve"> a series of improvement strategies</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includ</w:t>
      </w:r>
      <w:r>
        <w:rPr>
          <w:rFonts w:hint="eastAsia" w:ascii="Times New Roman" w:hAnsi="Times New Roman" w:cs="Times New Roman" w:eastAsiaTheme="minorEastAsia"/>
          <w:sz w:val="21"/>
          <w:szCs w:val="21"/>
        </w:rPr>
        <w:t>ing</w:t>
      </w:r>
      <w:r>
        <w:rPr>
          <w:rFonts w:ascii="Times New Roman" w:hAnsi="Times New Roman" w:cs="Times New Roman" w:eastAsiaTheme="minorEastAsia"/>
          <w:sz w:val="21"/>
          <w:szCs w:val="21"/>
        </w:rPr>
        <w:t xml:space="preserve"> applying phonics </w:t>
      </w:r>
      <w:r>
        <w:rPr>
          <w:rFonts w:hint="eastAsia" w:ascii="Times New Roman" w:hAnsi="Times New Roman" w:cs="Times New Roman" w:eastAsiaTheme="minorEastAsia"/>
          <w:sz w:val="21"/>
          <w:szCs w:val="21"/>
        </w:rPr>
        <w:t xml:space="preserve">to </w:t>
      </w:r>
      <w:r>
        <w:rPr>
          <w:rFonts w:ascii="Times New Roman" w:hAnsi="Times New Roman" w:cs="Times New Roman" w:eastAsiaTheme="minorEastAsia"/>
          <w:sz w:val="21"/>
          <w:szCs w:val="21"/>
        </w:rPr>
        <w:t>in-class teaching,</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guiding students to master memory </w:t>
      </w:r>
      <w:r>
        <w:rPr>
          <w:rFonts w:hint="eastAsia" w:ascii="Times New Roman" w:hAnsi="Times New Roman" w:cs="Times New Roman" w:eastAsiaTheme="minorEastAsia"/>
          <w:sz w:val="21"/>
          <w:szCs w:val="21"/>
        </w:rPr>
        <w:t>skills</w:t>
      </w:r>
      <w:r>
        <w:rPr>
          <w:rFonts w:ascii="Times New Roman" w:hAnsi="Times New Roman" w:cs="Times New Roman" w:eastAsiaTheme="minorEastAsia"/>
          <w:sz w:val="21"/>
          <w:szCs w:val="21"/>
        </w:rPr>
        <w:t xml:space="preserve">, strengthening the training of word reading and spelling, and </w:t>
      </w:r>
      <w:r>
        <w:rPr>
          <w:rFonts w:hint="eastAsia" w:ascii="Times New Roman" w:hAnsi="Times New Roman" w:cs="Times New Roman" w:eastAsiaTheme="minorEastAsia"/>
          <w:sz w:val="21"/>
          <w:szCs w:val="21"/>
        </w:rPr>
        <w:t>enhancing</w:t>
      </w:r>
      <w:r>
        <w:rPr>
          <w:rFonts w:ascii="Times New Roman" w:hAnsi="Times New Roman" w:cs="Times New Roman" w:eastAsiaTheme="minorEastAsia"/>
          <w:sz w:val="21"/>
          <w:szCs w:val="21"/>
        </w:rPr>
        <w:t xml:space="preserve"> the training of word context application,</w:t>
      </w:r>
      <w:r>
        <w:rPr>
          <w:rFonts w:hint="eastAsia" w:ascii="Times New Roman" w:hAnsi="Times New Roman" w:cs="Times New Roman" w:eastAsiaTheme="minorEastAsia"/>
          <w:sz w:val="21"/>
          <w:szCs w:val="21"/>
        </w:rPr>
        <w:t xml:space="preserve"> etc. Also, the paper conducted </w:t>
      </w:r>
      <w:r>
        <w:rPr>
          <w:rFonts w:ascii="Times New Roman" w:hAnsi="Times New Roman" w:cs="Times New Roman" w:eastAsiaTheme="minorEastAsia"/>
          <w:sz w:val="21"/>
          <w:szCs w:val="21"/>
        </w:rPr>
        <w:t>two rounds of action research on these strategies.</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 xml:space="preserve">The results show that phonics </w:t>
      </w:r>
      <w:r>
        <w:rPr>
          <w:rFonts w:hint="eastAsia" w:ascii="Times New Roman" w:hAnsi="Times New Roman" w:cs="Times New Roman" w:eastAsiaTheme="minorEastAsia"/>
          <w:sz w:val="21"/>
          <w:szCs w:val="21"/>
        </w:rPr>
        <w:t>can help</w:t>
      </w:r>
      <w:r>
        <w:rPr>
          <w:rFonts w:ascii="Times New Roman" w:hAnsi="Times New Roman" w:cs="Times New Roman" w:eastAsiaTheme="minorEastAsia"/>
          <w:sz w:val="21"/>
          <w:szCs w:val="21"/>
        </w:rPr>
        <w:t xml:space="preserve"> students master </w:t>
      </w:r>
      <w:r>
        <w:rPr>
          <w:rFonts w:hint="eastAsia" w:ascii="Times New Roman" w:hAnsi="Times New Roman" w:cs="Times New Roman" w:eastAsiaTheme="minorEastAsia"/>
          <w:sz w:val="21"/>
          <w:szCs w:val="21"/>
        </w:rPr>
        <w:t xml:space="preserve">the </w:t>
      </w:r>
      <w:r>
        <w:rPr>
          <w:rFonts w:ascii="Times New Roman" w:hAnsi="Times New Roman" w:cs="Times New Roman" w:eastAsiaTheme="minorEastAsia"/>
          <w:sz w:val="21"/>
          <w:szCs w:val="21"/>
        </w:rPr>
        <w:t>spelling rules and read words correctly</w:t>
      </w:r>
      <w:r>
        <w:rPr>
          <w:rFonts w:hint="eastAsia" w:ascii="Times New Roman" w:hAnsi="Times New Roman" w:cs="Times New Roman" w:eastAsiaTheme="minorEastAsia"/>
          <w:sz w:val="21"/>
          <w:szCs w:val="21"/>
        </w:rPr>
        <w:t>. T</w:t>
      </w:r>
      <w:r>
        <w:rPr>
          <w:rFonts w:ascii="Times New Roman" w:hAnsi="Times New Roman" w:cs="Times New Roman" w:eastAsiaTheme="minorEastAsia"/>
          <w:sz w:val="21"/>
          <w:szCs w:val="21"/>
        </w:rPr>
        <w:t xml:space="preserve">he improvement of the accuracy of reading words and the </w:t>
      </w:r>
      <w:r>
        <w:rPr>
          <w:rFonts w:hint="eastAsia" w:ascii="Times New Roman" w:hAnsi="Times New Roman" w:cs="Times New Roman" w:eastAsiaTheme="minorEastAsia"/>
          <w:sz w:val="21"/>
          <w:szCs w:val="21"/>
        </w:rPr>
        <w:t>assistance</w:t>
      </w:r>
      <w:r>
        <w:rPr>
          <w:rFonts w:ascii="Times New Roman" w:hAnsi="Times New Roman" w:cs="Times New Roman" w:eastAsiaTheme="minorEastAsia"/>
          <w:sz w:val="21"/>
          <w:szCs w:val="21"/>
        </w:rPr>
        <w:t xml:space="preserve"> of memory strategies can help students </w:t>
      </w:r>
      <w:r>
        <w:rPr>
          <w:rFonts w:hint="eastAsia" w:ascii="Times New Roman" w:hAnsi="Times New Roman" w:cs="Times New Roman" w:eastAsiaTheme="minorEastAsia"/>
          <w:sz w:val="21"/>
          <w:szCs w:val="21"/>
        </w:rPr>
        <w:t>memorize</w:t>
      </w:r>
      <w:r>
        <w:rPr>
          <w:rFonts w:ascii="Times New Roman" w:hAnsi="Times New Roman" w:cs="Times New Roman" w:eastAsiaTheme="minorEastAsia"/>
          <w:sz w:val="21"/>
          <w:szCs w:val="21"/>
        </w:rPr>
        <w:t xml:space="preserve"> words correctly.</w:t>
      </w:r>
    </w:p>
    <w:p>
      <w:pPr>
        <w:spacing w:after="0" w:line="400" w:lineRule="exact"/>
        <w:jc w:val="both"/>
        <w:rPr>
          <w:rFonts w:ascii="Times New Roman" w:hAnsi="Times New Roman" w:cs="Times New Roman" w:eastAsiaTheme="minorEastAsia"/>
          <w:sz w:val="21"/>
          <w:szCs w:val="21"/>
        </w:rPr>
      </w:pPr>
      <w:r>
        <w:rPr>
          <w:rFonts w:ascii="Times New Roman" w:hAnsi="Times New Roman" w:cs="Times New Roman" w:eastAsiaTheme="minorEastAsia"/>
          <w:b/>
          <w:sz w:val="21"/>
          <w:szCs w:val="21"/>
        </w:rPr>
        <w:t xml:space="preserve">Key </w:t>
      </w:r>
      <w:r>
        <w:rPr>
          <w:rFonts w:hint="eastAsia" w:ascii="Times New Roman" w:hAnsi="Times New Roman" w:cs="Times New Roman" w:eastAsiaTheme="minorEastAsia"/>
          <w:b/>
          <w:sz w:val="21"/>
          <w:szCs w:val="21"/>
        </w:rPr>
        <w:t>w</w:t>
      </w:r>
      <w:r>
        <w:rPr>
          <w:rFonts w:ascii="Times New Roman" w:hAnsi="Times New Roman" w:cs="Times New Roman" w:eastAsiaTheme="minorEastAsia"/>
          <w:b/>
          <w:sz w:val="21"/>
          <w:szCs w:val="21"/>
        </w:rPr>
        <w:t xml:space="preserve">ords: </w:t>
      </w:r>
      <w:r>
        <w:rPr>
          <w:rFonts w:hint="eastAsia" w:ascii="Times New Roman" w:hAnsi="Times New Roman" w:cs="Times New Roman" w:eastAsiaTheme="minorEastAsia"/>
          <w:sz w:val="21"/>
          <w:szCs w:val="21"/>
        </w:rPr>
        <w:t>English words</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r</w:t>
      </w:r>
      <w:r>
        <w:rPr>
          <w:rFonts w:ascii="Times New Roman" w:hAnsi="Times New Roman" w:cs="Times New Roman" w:eastAsiaTheme="minorEastAsia"/>
          <w:sz w:val="21"/>
          <w:szCs w:val="21"/>
        </w:rPr>
        <w:t xml:space="preserve">eading; </w:t>
      </w:r>
      <w:r>
        <w:rPr>
          <w:rFonts w:hint="eastAsia" w:ascii="Times New Roman" w:hAnsi="Times New Roman" w:cs="Times New Roman" w:eastAsiaTheme="minorEastAsia"/>
          <w:sz w:val="21"/>
          <w:szCs w:val="21"/>
        </w:rPr>
        <w:t>memorizing</w:t>
      </w:r>
      <w:r>
        <w:rPr>
          <w:rFonts w:ascii="Times New Roman" w:hAnsi="Times New Roman" w:cs="Times New Roman" w:eastAsiaTheme="minorEastAsia"/>
          <w:sz w:val="21"/>
          <w:szCs w:val="21"/>
        </w:rPr>
        <w:t>;</w:t>
      </w:r>
      <w:r>
        <w:t xml:space="preserve"> </w:t>
      </w:r>
      <w:r>
        <w:rPr>
          <w:rFonts w:ascii="Times New Roman" w:hAnsi="Times New Roman" w:cs="Times New Roman" w:eastAsiaTheme="minorEastAsia"/>
          <w:sz w:val="21"/>
          <w:szCs w:val="21"/>
        </w:rPr>
        <w:t>phonics</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sz w:val="21"/>
          <w:szCs w:val="21"/>
        </w:rPr>
        <w:t>a</w:t>
      </w:r>
      <w:r>
        <w:rPr>
          <w:rFonts w:ascii="Times New Roman" w:hAnsi="Times New Roman" w:cs="Times New Roman" w:eastAsiaTheme="minorEastAsia"/>
          <w:sz w:val="21"/>
          <w:szCs w:val="21"/>
        </w:rPr>
        <w:t xml:space="preserve">ction </w:t>
      </w:r>
      <w:r>
        <w:rPr>
          <w:rFonts w:hint="eastAsia" w:ascii="Times New Roman" w:hAnsi="Times New Roman" w:cs="Times New Roman" w:eastAsiaTheme="minorEastAsia"/>
          <w:sz w:val="21"/>
          <w:szCs w:val="21"/>
        </w:rPr>
        <w:t>r</w:t>
      </w:r>
      <w:r>
        <w:rPr>
          <w:rFonts w:ascii="Times New Roman" w:hAnsi="Times New Roman" w:cs="Times New Roman" w:eastAsiaTheme="minorEastAsia"/>
          <w:sz w:val="21"/>
          <w:szCs w:val="21"/>
        </w:rPr>
        <w:t>esearch</w:t>
      </w:r>
    </w:p>
    <w:p>
      <w:pPr>
        <w:spacing w:after="0" w:line="400" w:lineRule="exact"/>
        <w:jc w:val="both"/>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（责任编辑：李予军</w:t>
      </w:r>
      <w:bookmarkStart w:id="0" w:name="_GoBack"/>
      <w:bookmarkEnd w:id="0"/>
      <w:r>
        <w:rPr>
          <w:rFonts w:hint="eastAsia" w:ascii="Times New Roman" w:hAnsi="Times New Roman" w:cs="Times New Roman" w:eastAsiaTheme="minorEastAsia"/>
          <w:sz w:val="21"/>
          <w:szCs w:val="21"/>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rPr>
          <w:rFonts w:hint="eastAsia"/>
          <w:lang w:val="en-US" w:eastAsia="zh-CN"/>
        </w:rPr>
      </w:pPr>
      <w:r>
        <w:rPr>
          <w:rStyle w:val="17"/>
        </w:rPr>
        <w:footnoteRef/>
      </w:r>
      <w:r>
        <w:rPr>
          <w:rFonts w:hint="eastAsia"/>
          <w:lang w:eastAsia="zh-CN"/>
        </w:rPr>
        <w:t>收稿时间：</w:t>
      </w:r>
      <w:r>
        <w:rPr>
          <w:rFonts w:hint="eastAsia"/>
          <w:lang w:val="en-US" w:eastAsia="zh-CN"/>
        </w:rPr>
        <w:t>2019年04月01日</w:t>
      </w:r>
    </w:p>
    <w:p>
      <w:pPr>
        <w:pStyle w:val="3"/>
      </w:pPr>
      <w:r>
        <w:rPr>
          <w:rFonts w:hint="eastAsia"/>
          <w:lang w:val="en-US" w:eastAsia="zh-CN"/>
        </w:rPr>
        <w:t>作者简介：</w:t>
      </w:r>
      <w:r>
        <w:rPr>
          <w:rFonts w:hint="eastAsia"/>
        </w:rPr>
        <w:t>任玉霞 （1978-），女，山东莱芜人，副教授，硕士，</w:t>
      </w:r>
      <w:r>
        <w:rPr>
          <w:rFonts w:hint="eastAsia"/>
          <w:lang w:eastAsia="zh-CN"/>
        </w:rPr>
        <w:t>主要</w:t>
      </w:r>
      <w:r>
        <w:rPr>
          <w:rFonts w:hint="eastAsia"/>
        </w:rPr>
        <w:t>研究方向：应用语言学和英语教学。</w:t>
      </w:r>
      <w:r>
        <w:t xml:space="preserve"> </w:t>
      </w:r>
    </w:p>
  </w:footnote>
  <w:footnote w:id="1">
    <w:p>
      <w:pPr>
        <w:pStyle w:val="3"/>
      </w:pPr>
      <w:r>
        <w:rPr>
          <w:rStyle w:val="17"/>
        </w:rPr>
        <w:footnoteRef/>
      </w:r>
      <w:r>
        <w:rPr>
          <w:rFonts w:hint="eastAsia"/>
        </w:rPr>
        <w:t>任玉霞 （1978-），女（汉族），山东莱芜人，副教授，硕士学位，研究方向：应用语言学和英语教学。</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60817"/>
    <w:multiLevelType w:val="singleLevel"/>
    <w:tmpl w:val="9B460817"/>
    <w:lvl w:ilvl="0" w:tentative="0">
      <w:start w:val="5"/>
      <w:numFmt w:val="decimal"/>
      <w:suff w:val="space"/>
      <w:lvlText w:val="[%1]"/>
      <w:lvlJc w:val="left"/>
    </w:lvl>
  </w:abstractNum>
  <w:abstractNum w:abstractNumId="1">
    <w:nsid w:val="60AD0978"/>
    <w:multiLevelType w:val="multilevel"/>
    <w:tmpl w:val="60AD0978"/>
    <w:lvl w:ilvl="0" w:tentative="0">
      <w:start w:val="1"/>
      <w:numFmt w:val="japaneseCounting"/>
      <w:lvlText w:val="%1、"/>
      <w:lvlJc w:val="left"/>
      <w:pPr>
        <w:ind w:left="870" w:hanging="510"/>
      </w:pPr>
      <w:rPr>
        <w:rFonts w:hint="default" w:hAnsiTheme="minor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15987"/>
    <w:rsid w:val="000160FF"/>
    <w:rsid w:val="00060402"/>
    <w:rsid w:val="00063004"/>
    <w:rsid w:val="000777D0"/>
    <w:rsid w:val="00080C15"/>
    <w:rsid w:val="000814F1"/>
    <w:rsid w:val="00082460"/>
    <w:rsid w:val="00130FE0"/>
    <w:rsid w:val="0014741A"/>
    <w:rsid w:val="001475A9"/>
    <w:rsid w:val="00151BC1"/>
    <w:rsid w:val="001522C2"/>
    <w:rsid w:val="0015556D"/>
    <w:rsid w:val="00157E6F"/>
    <w:rsid w:val="00160432"/>
    <w:rsid w:val="00163D4E"/>
    <w:rsid w:val="00167407"/>
    <w:rsid w:val="00193DD2"/>
    <w:rsid w:val="001C0D13"/>
    <w:rsid w:val="001D41EB"/>
    <w:rsid w:val="001D6D5D"/>
    <w:rsid w:val="00217FAB"/>
    <w:rsid w:val="00275CBA"/>
    <w:rsid w:val="0028014C"/>
    <w:rsid w:val="002D224D"/>
    <w:rsid w:val="002D2A43"/>
    <w:rsid w:val="002D393C"/>
    <w:rsid w:val="002D553C"/>
    <w:rsid w:val="002E59DC"/>
    <w:rsid w:val="00305633"/>
    <w:rsid w:val="0031654D"/>
    <w:rsid w:val="00323B43"/>
    <w:rsid w:val="00360259"/>
    <w:rsid w:val="00381153"/>
    <w:rsid w:val="003B10A9"/>
    <w:rsid w:val="003D37D8"/>
    <w:rsid w:val="00426133"/>
    <w:rsid w:val="004358AB"/>
    <w:rsid w:val="00450874"/>
    <w:rsid w:val="00461136"/>
    <w:rsid w:val="00464899"/>
    <w:rsid w:val="0049277E"/>
    <w:rsid w:val="00494DF8"/>
    <w:rsid w:val="004B75BB"/>
    <w:rsid w:val="004C2346"/>
    <w:rsid w:val="004C6292"/>
    <w:rsid w:val="004C7A03"/>
    <w:rsid w:val="004E3971"/>
    <w:rsid w:val="004E4860"/>
    <w:rsid w:val="004F3689"/>
    <w:rsid w:val="005268E4"/>
    <w:rsid w:val="00532619"/>
    <w:rsid w:val="00541DCF"/>
    <w:rsid w:val="0054228A"/>
    <w:rsid w:val="00544152"/>
    <w:rsid w:val="0055335E"/>
    <w:rsid w:val="0057646A"/>
    <w:rsid w:val="00577956"/>
    <w:rsid w:val="0058322A"/>
    <w:rsid w:val="00584E48"/>
    <w:rsid w:val="005F69F3"/>
    <w:rsid w:val="006463D3"/>
    <w:rsid w:val="006534B4"/>
    <w:rsid w:val="006650A2"/>
    <w:rsid w:val="006B1187"/>
    <w:rsid w:val="006C3DB3"/>
    <w:rsid w:val="006D21B1"/>
    <w:rsid w:val="006D388A"/>
    <w:rsid w:val="00702496"/>
    <w:rsid w:val="00713446"/>
    <w:rsid w:val="00727A20"/>
    <w:rsid w:val="00744916"/>
    <w:rsid w:val="00745F64"/>
    <w:rsid w:val="00783BBF"/>
    <w:rsid w:val="007848F3"/>
    <w:rsid w:val="007877A3"/>
    <w:rsid w:val="007A0B09"/>
    <w:rsid w:val="00803CA1"/>
    <w:rsid w:val="00805483"/>
    <w:rsid w:val="00822CE5"/>
    <w:rsid w:val="008528E1"/>
    <w:rsid w:val="00856DA8"/>
    <w:rsid w:val="0087132F"/>
    <w:rsid w:val="008B515A"/>
    <w:rsid w:val="008B5388"/>
    <w:rsid w:val="008B7726"/>
    <w:rsid w:val="008C0FB0"/>
    <w:rsid w:val="008C614C"/>
    <w:rsid w:val="008D0DA9"/>
    <w:rsid w:val="009051E0"/>
    <w:rsid w:val="009229CE"/>
    <w:rsid w:val="00950B7D"/>
    <w:rsid w:val="0095186F"/>
    <w:rsid w:val="0096125F"/>
    <w:rsid w:val="009651D4"/>
    <w:rsid w:val="0097398D"/>
    <w:rsid w:val="0099133A"/>
    <w:rsid w:val="00993017"/>
    <w:rsid w:val="009A604E"/>
    <w:rsid w:val="009B4E08"/>
    <w:rsid w:val="009D0EE8"/>
    <w:rsid w:val="009E11BB"/>
    <w:rsid w:val="00A0149C"/>
    <w:rsid w:val="00A11064"/>
    <w:rsid w:val="00A378AB"/>
    <w:rsid w:val="00A6005C"/>
    <w:rsid w:val="00A668F7"/>
    <w:rsid w:val="00A66FFB"/>
    <w:rsid w:val="00A96616"/>
    <w:rsid w:val="00AC57C6"/>
    <w:rsid w:val="00AC6FE5"/>
    <w:rsid w:val="00AE1460"/>
    <w:rsid w:val="00AF20D7"/>
    <w:rsid w:val="00B231E8"/>
    <w:rsid w:val="00B27C5F"/>
    <w:rsid w:val="00B4334A"/>
    <w:rsid w:val="00B52CCB"/>
    <w:rsid w:val="00B72495"/>
    <w:rsid w:val="00B87CA9"/>
    <w:rsid w:val="00B9611A"/>
    <w:rsid w:val="00B9676C"/>
    <w:rsid w:val="00BA55FB"/>
    <w:rsid w:val="00BB5FD1"/>
    <w:rsid w:val="00BB7800"/>
    <w:rsid w:val="00BE646B"/>
    <w:rsid w:val="00BE79B7"/>
    <w:rsid w:val="00C14236"/>
    <w:rsid w:val="00C1610A"/>
    <w:rsid w:val="00C23C62"/>
    <w:rsid w:val="00C45EB7"/>
    <w:rsid w:val="00C515A0"/>
    <w:rsid w:val="00C63451"/>
    <w:rsid w:val="00C749C1"/>
    <w:rsid w:val="00C832DC"/>
    <w:rsid w:val="00C836FA"/>
    <w:rsid w:val="00C84361"/>
    <w:rsid w:val="00C91DE4"/>
    <w:rsid w:val="00C95AAC"/>
    <w:rsid w:val="00C973ED"/>
    <w:rsid w:val="00CA1826"/>
    <w:rsid w:val="00CA511A"/>
    <w:rsid w:val="00CB6DA0"/>
    <w:rsid w:val="00CC5BEC"/>
    <w:rsid w:val="00CF285A"/>
    <w:rsid w:val="00D236F5"/>
    <w:rsid w:val="00D243FD"/>
    <w:rsid w:val="00D273A7"/>
    <w:rsid w:val="00D31D50"/>
    <w:rsid w:val="00D6075D"/>
    <w:rsid w:val="00D632E5"/>
    <w:rsid w:val="00D96FDB"/>
    <w:rsid w:val="00DD481D"/>
    <w:rsid w:val="00DE0011"/>
    <w:rsid w:val="00DE50E7"/>
    <w:rsid w:val="00DF06AA"/>
    <w:rsid w:val="00E04DBD"/>
    <w:rsid w:val="00E25B9F"/>
    <w:rsid w:val="00E26C16"/>
    <w:rsid w:val="00E305D9"/>
    <w:rsid w:val="00E31E67"/>
    <w:rsid w:val="00E42352"/>
    <w:rsid w:val="00E43B57"/>
    <w:rsid w:val="00E45702"/>
    <w:rsid w:val="00E52875"/>
    <w:rsid w:val="00E66813"/>
    <w:rsid w:val="00E90534"/>
    <w:rsid w:val="00E92795"/>
    <w:rsid w:val="00E9453E"/>
    <w:rsid w:val="00EC7097"/>
    <w:rsid w:val="00ED1F7C"/>
    <w:rsid w:val="00F06BCF"/>
    <w:rsid w:val="00F106D0"/>
    <w:rsid w:val="00F20591"/>
    <w:rsid w:val="00F25788"/>
    <w:rsid w:val="00F3358F"/>
    <w:rsid w:val="00F365B9"/>
    <w:rsid w:val="00F559A3"/>
    <w:rsid w:val="00F561D9"/>
    <w:rsid w:val="00F70C17"/>
    <w:rsid w:val="00F7304D"/>
    <w:rsid w:val="00F90966"/>
    <w:rsid w:val="00F90CE0"/>
    <w:rsid w:val="00FD3797"/>
    <w:rsid w:val="0A18053F"/>
    <w:rsid w:val="0B7A3634"/>
    <w:rsid w:val="10497C18"/>
    <w:rsid w:val="119C59EB"/>
    <w:rsid w:val="11D239F4"/>
    <w:rsid w:val="15CF5C5B"/>
    <w:rsid w:val="1BE86E8C"/>
    <w:rsid w:val="1FA64527"/>
    <w:rsid w:val="2ABF0BFA"/>
    <w:rsid w:val="33C12F84"/>
    <w:rsid w:val="3FD0327D"/>
    <w:rsid w:val="41423C6A"/>
    <w:rsid w:val="4E771A63"/>
    <w:rsid w:val="616D1F05"/>
    <w:rsid w:val="6AE53173"/>
    <w:rsid w:val="6EC477BC"/>
    <w:rsid w:val="72BE5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23"/>
    <w:semiHidden/>
    <w:unhideWhenUsed/>
    <w:qFormat/>
    <w:uiPriority w:val="99"/>
    <w:pPr>
      <w:spacing w:after="0"/>
    </w:pPr>
    <w:rPr>
      <w:sz w:val="18"/>
      <w:szCs w:val="18"/>
    </w:rPr>
  </w:style>
  <w:style w:type="paragraph" w:styleId="3">
    <w:name w:val="footer"/>
    <w:basedOn w:val="1"/>
    <w:link w:val="22"/>
    <w:unhideWhenUsed/>
    <w:qFormat/>
    <w:uiPriority w:val="99"/>
    <w:pPr>
      <w:tabs>
        <w:tab w:val="center" w:pos="4153"/>
        <w:tab w:val="right" w:pos="8306"/>
      </w:tabs>
    </w:pPr>
    <w:rPr>
      <w:sz w:val="18"/>
      <w:szCs w:val="18"/>
    </w:rPr>
  </w:style>
  <w:style w:type="paragraph" w:styleId="4">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5">
    <w:name w:val="footnote text"/>
    <w:basedOn w:val="1"/>
    <w:semiHidden/>
    <w:unhideWhenUsed/>
    <w:qFormat/>
    <w:uiPriority w:val="99"/>
    <w:rPr>
      <w:sz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FollowedHyperlink"/>
    <w:basedOn w:val="8"/>
    <w:semiHidden/>
    <w:unhideWhenUsed/>
    <w:qFormat/>
    <w:uiPriority w:val="99"/>
    <w:rPr>
      <w:color w:val="03377B"/>
      <w:u w:val="none"/>
    </w:rPr>
  </w:style>
  <w:style w:type="character" w:styleId="10">
    <w:name w:val="Emphasis"/>
    <w:basedOn w:val="8"/>
    <w:qFormat/>
    <w:uiPriority w:val="20"/>
  </w:style>
  <w:style w:type="character" w:styleId="11">
    <w:name w:val="HTML Definition"/>
    <w:basedOn w:val="8"/>
    <w:semiHidden/>
    <w:unhideWhenUsed/>
    <w:qFormat/>
    <w:uiPriority w:val="99"/>
  </w:style>
  <w:style w:type="character" w:styleId="12">
    <w:name w:val="HTML Typewriter"/>
    <w:basedOn w:val="8"/>
    <w:semiHidden/>
    <w:unhideWhenUsed/>
    <w:qFormat/>
    <w:uiPriority w:val="99"/>
    <w:rPr>
      <w:rFonts w:ascii="Courier New" w:hAnsi="Courier New" w:cs="Courier New"/>
      <w:sz w:val="20"/>
    </w:rPr>
  </w:style>
  <w:style w:type="character" w:styleId="13">
    <w:name w:val="HTML Variable"/>
    <w:basedOn w:val="8"/>
    <w:semiHidden/>
    <w:unhideWhenUsed/>
    <w:qFormat/>
    <w:uiPriority w:val="99"/>
  </w:style>
  <w:style w:type="character" w:styleId="14">
    <w:name w:val="Hyperlink"/>
    <w:basedOn w:val="8"/>
    <w:semiHidden/>
    <w:unhideWhenUsed/>
    <w:qFormat/>
    <w:uiPriority w:val="99"/>
    <w:rPr>
      <w:color w:val="03377B"/>
      <w:u w:val="none"/>
    </w:rPr>
  </w:style>
  <w:style w:type="character" w:styleId="15">
    <w:name w:val="HTML Code"/>
    <w:basedOn w:val="8"/>
    <w:semiHidden/>
    <w:unhideWhenUsed/>
    <w:qFormat/>
    <w:uiPriority w:val="99"/>
    <w:rPr>
      <w:rFonts w:hint="default" w:ascii="Courier New" w:hAnsi="Courier New" w:cs="Courier New"/>
      <w:sz w:val="20"/>
    </w:rPr>
  </w:style>
  <w:style w:type="character" w:styleId="16">
    <w:name w:val="HTML Cite"/>
    <w:basedOn w:val="8"/>
    <w:semiHidden/>
    <w:unhideWhenUsed/>
    <w:qFormat/>
    <w:uiPriority w:val="99"/>
  </w:style>
  <w:style w:type="character" w:styleId="17">
    <w:name w:val="footnote reference"/>
    <w:basedOn w:val="8"/>
    <w:semiHidden/>
    <w:unhideWhenUsed/>
    <w:qFormat/>
    <w:uiPriority w:val="99"/>
    <w:rPr>
      <w:vertAlign w:val="superscript"/>
    </w:rPr>
  </w:style>
  <w:style w:type="character" w:styleId="18">
    <w:name w:val="HTML Keyboard"/>
    <w:basedOn w:val="8"/>
    <w:semiHidden/>
    <w:unhideWhenUsed/>
    <w:qFormat/>
    <w:uiPriority w:val="99"/>
    <w:rPr>
      <w:rFonts w:hint="default" w:ascii="Courier New" w:hAnsi="Courier New" w:cs="Courier New"/>
      <w:sz w:val="20"/>
    </w:rPr>
  </w:style>
  <w:style w:type="character" w:styleId="19">
    <w:name w:val="HTML Sample"/>
    <w:basedOn w:val="8"/>
    <w:semiHidden/>
    <w:unhideWhenUsed/>
    <w:qFormat/>
    <w:uiPriority w:val="99"/>
    <w:rPr>
      <w:rFonts w:hint="default" w:ascii="Courier New" w:hAnsi="Courier New" w:cs="Courier New"/>
    </w:rPr>
  </w:style>
  <w:style w:type="paragraph" w:styleId="20">
    <w:name w:val="List Paragraph"/>
    <w:basedOn w:val="1"/>
    <w:qFormat/>
    <w:uiPriority w:val="34"/>
    <w:pPr>
      <w:ind w:firstLine="420" w:firstLineChars="200"/>
    </w:pPr>
  </w:style>
  <w:style w:type="character" w:customStyle="1" w:styleId="21">
    <w:name w:val="页眉 字符"/>
    <w:basedOn w:val="8"/>
    <w:link w:val="4"/>
    <w:qFormat/>
    <w:uiPriority w:val="99"/>
    <w:rPr>
      <w:rFonts w:ascii="Tahoma" w:hAnsi="Tahoma"/>
      <w:sz w:val="18"/>
      <w:szCs w:val="18"/>
    </w:rPr>
  </w:style>
  <w:style w:type="character" w:customStyle="1" w:styleId="22">
    <w:name w:val="页脚 字符"/>
    <w:basedOn w:val="8"/>
    <w:link w:val="3"/>
    <w:qFormat/>
    <w:uiPriority w:val="99"/>
    <w:rPr>
      <w:rFonts w:ascii="Tahoma" w:hAnsi="Tahoma"/>
      <w:sz w:val="18"/>
      <w:szCs w:val="18"/>
    </w:rPr>
  </w:style>
  <w:style w:type="character" w:customStyle="1" w:styleId="23">
    <w:name w:val="批注框文本 字符"/>
    <w:basedOn w:val="8"/>
    <w:link w:val="2"/>
    <w:semiHidden/>
    <w:qFormat/>
    <w:uiPriority w:val="99"/>
    <w:rPr>
      <w:rFonts w:ascii="Tahoma" w:hAnsi="Tahoma"/>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1325</Words>
  <Characters>7558</Characters>
  <Lines>62</Lines>
  <Paragraphs>17</Paragraphs>
  <TotalTime>321</TotalTime>
  <ScaleCrop>false</ScaleCrop>
  <LinksUpToDate>false</LinksUpToDate>
  <CharactersWithSpaces>8866</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Administrator</dc:creator>
  <lastModifiedBy>HH</lastModifiedBy>
  <lastPrinted>2008-09-11T17:20:00Z</lastPrinted>
  <dcterms:modified xsi:type="dcterms:W3CDTF">2019-09-23T04:50:57Z</dcterms:modified>
  <revision>155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