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line="400" w:lineRule="exact"/>
        <w:jc w:val="center"/>
        <w:rPr>
          <w:rFonts w:ascii="黑体" w:hAnsi="黑体" w:eastAsia="黑体" w:cs="黑体"/>
          <w:b w:val="0"/>
          <w:bCs w:val="0"/>
          <w:sz w:val="32"/>
          <w:szCs w:val="32"/>
        </w:rPr>
      </w:pPr>
      <w:r>
        <w:rPr>
          <w:rFonts w:ascii="黑体" w:hAnsi="黑体" w:eastAsia="黑体" w:cs="黑体"/>
          <w:b w:val="0"/>
          <w:bCs w:val="0"/>
          <w:sz w:val="32"/>
          <w:szCs w:val="32"/>
        </w:rPr>
        <w:t>应用型本科项目管理人才培养课程体系建设实证研究</w:t>
      </w:r>
      <w:r>
        <w:rPr>
          <w:rFonts w:ascii="黑体" w:hAnsi="黑体" w:eastAsia="黑体" w:cs="黑体"/>
          <w:b w:val="0"/>
          <w:bCs w:val="0"/>
          <w:sz w:val="32"/>
          <w:szCs w:val="32"/>
          <w:vertAlign w:val="superscript"/>
          <w:lang w:val="en-US"/>
        </w:rPr>
        <w:footnoteReference w:id="0" w:customMarkFollows="1"/>
      </w:r>
      <w:r>
        <w:rPr>
          <w:rFonts w:ascii="黑体" w:hAnsi="黑体" w:eastAsia="黑体" w:cs="黑体"/>
          <w:b w:val="0"/>
          <w:bCs w:val="0"/>
          <w:sz w:val="32"/>
          <w:szCs w:val="32"/>
          <w:vertAlign w:val="superscript"/>
          <w:lang w:val="en-US"/>
        </w:rPr>
        <w:t xml:space="preserve"> </w:t>
      </w:r>
    </w:p>
    <w:p>
      <w:pPr>
        <w:pStyle w:val="12"/>
        <w:spacing w:line="400" w:lineRule="exact"/>
        <w:jc w:val="center"/>
        <w:rPr>
          <w:rFonts w:ascii="黑体" w:hAnsi="黑体" w:eastAsia="黑体" w:cs="黑体"/>
          <w:b w:val="0"/>
          <w:bCs w:val="0"/>
          <w:sz w:val="32"/>
          <w:szCs w:val="32"/>
        </w:rPr>
      </w:pPr>
      <w:r>
        <w:rPr>
          <w:rFonts w:ascii="黑体" w:hAnsi="黑体" w:eastAsia="黑体" w:cs="黑体"/>
          <w:b w:val="0"/>
          <w:bCs w:val="0"/>
          <w:sz w:val="32"/>
          <w:szCs w:val="32"/>
          <w:lang w:val="en-US"/>
        </w:rPr>
        <w:t>——</w:t>
      </w:r>
      <w:r>
        <w:rPr>
          <w:rFonts w:ascii="黑体" w:hAnsi="黑体" w:eastAsia="黑体" w:cs="黑体"/>
          <w:b w:val="0"/>
          <w:bCs w:val="0"/>
          <w:sz w:val="32"/>
          <w:szCs w:val="32"/>
        </w:rPr>
        <w:t>以北京城市学院为例</w:t>
      </w:r>
    </w:p>
    <w:p>
      <w:pPr>
        <w:spacing w:line="400" w:lineRule="exact"/>
        <w:jc w:val="center"/>
        <w:rPr>
          <w:rFonts w:ascii="宋体" w:hAnsi="宋体" w:eastAsia="宋体" w:cs="宋体"/>
        </w:rPr>
      </w:pPr>
      <w:r>
        <w:rPr>
          <w:rFonts w:ascii="宋体" w:hAnsi="宋体" w:eastAsia="宋体" w:cs="宋体"/>
        </w:rPr>
        <w:t>常金明，霍晓荣</w:t>
      </w:r>
    </w:p>
    <w:p>
      <w:pPr>
        <w:spacing w:line="400" w:lineRule="exact"/>
        <w:jc w:val="center"/>
        <w:rPr>
          <w:rFonts w:ascii="宋体" w:hAnsi="宋体" w:eastAsia="宋体" w:cs="宋体"/>
        </w:rPr>
      </w:pPr>
      <w:r>
        <w:rPr>
          <w:rFonts w:ascii="宋体" w:hAnsi="宋体" w:eastAsia="宋体" w:cs="宋体"/>
        </w:rPr>
        <w:t>（北京城市学院</w:t>
      </w:r>
      <w:r>
        <w:rPr>
          <w:rFonts w:hint="eastAsia" w:ascii="宋体" w:hAnsi="宋体" w:eastAsia="宋体" w:cs="宋体"/>
          <w:lang w:val="en-US" w:eastAsia="zh-CN"/>
        </w:rPr>
        <w:t xml:space="preserve"> </w:t>
      </w:r>
      <w:r>
        <w:rPr>
          <w:rFonts w:ascii="宋体" w:hAnsi="宋体" w:eastAsia="宋体" w:cs="宋体"/>
        </w:rPr>
        <w:t>北京</w:t>
      </w:r>
      <w:r>
        <w:rPr>
          <w:rFonts w:hint="eastAsia" w:ascii="宋体" w:hAnsi="宋体" w:eastAsia="宋体" w:cs="宋体"/>
          <w:lang w:val="en-US" w:eastAsia="zh-CN"/>
        </w:rPr>
        <w:t xml:space="preserve"> </w:t>
      </w:r>
      <w:r>
        <w:rPr>
          <w:rFonts w:ascii="宋体" w:hAnsi="宋体" w:eastAsia="宋体" w:cs="宋体"/>
        </w:rPr>
        <w:t>100083）</w:t>
      </w:r>
    </w:p>
    <w:p>
      <w:pPr>
        <w:spacing w:line="400" w:lineRule="exact"/>
        <w:jc w:val="center"/>
        <w:rPr>
          <w:sz w:val="24"/>
          <w:szCs w:val="24"/>
        </w:rPr>
      </w:pPr>
    </w:p>
    <w:p>
      <w:pPr>
        <w:widowControl/>
        <w:spacing w:line="400" w:lineRule="exact"/>
        <w:ind w:firstLine="422"/>
        <w:jc w:val="left"/>
      </w:pPr>
      <w:r>
        <w:rPr>
          <w:rFonts w:ascii="宋体" w:hAnsi="宋体" w:eastAsia="宋体" w:cs="宋体"/>
          <w:b/>
          <w:bCs/>
        </w:rPr>
        <w:t>摘要：</w:t>
      </w:r>
      <w:r>
        <w:rPr>
          <w:rFonts w:ascii="宋体" w:hAnsi="宋体" w:eastAsia="宋体" w:cs="宋体"/>
        </w:rPr>
        <w:t>课程体系建设是社会需求与高校教育实际教学工作紧密结合的纽带。根据高校教育培养目标，应按照技术领域和职业岗位的实际要求设置和调整专业。本文在介绍我国项目管理本科专业发展现状和当前高校在课程体系差异性的基础上，结合北京城市学院工商管理专业（项目管理方向）的设置与调整，阐述学校如何根据市场需求以及自身的资源情况，确立专业方向特色，进行专业方向课程体系设置，构建</w:t>
      </w:r>
      <w:r>
        <w:t>“4</w:t>
      </w:r>
      <w:r>
        <w:rPr>
          <w:rFonts w:ascii="宋体" w:hAnsi="宋体" w:eastAsia="宋体" w:cs="宋体"/>
        </w:rPr>
        <w:t>个平台</w:t>
      </w:r>
      <w:r>
        <w:t>+4</w:t>
      </w:r>
      <w:r>
        <w:rPr>
          <w:rFonts w:ascii="宋体" w:hAnsi="宋体" w:eastAsia="宋体" w:cs="宋体"/>
        </w:rPr>
        <w:t>个模块</w:t>
      </w:r>
      <w:r>
        <w:t>”</w:t>
      </w:r>
      <w:r>
        <w:rPr>
          <w:rFonts w:ascii="宋体" w:hAnsi="宋体" w:eastAsia="宋体" w:cs="宋体"/>
        </w:rPr>
        <w:t>的项目管理本科专业课程体系。</w:t>
      </w:r>
    </w:p>
    <w:p>
      <w:pPr>
        <w:spacing w:line="400" w:lineRule="exact"/>
        <w:ind w:firstLine="420"/>
      </w:pPr>
      <w:r>
        <w:rPr>
          <w:rFonts w:ascii="宋体" w:hAnsi="宋体" w:eastAsia="宋体" w:cs="宋体"/>
          <w:b/>
          <w:bCs/>
        </w:rPr>
        <w:t>关键词：</w:t>
      </w:r>
      <w:r>
        <w:rPr>
          <w:rFonts w:ascii="宋体" w:hAnsi="宋体" w:eastAsia="宋体" w:cs="宋体"/>
        </w:rPr>
        <w:t>应用型人才培养；项目管理；课程体系建设</w:t>
      </w:r>
    </w:p>
    <w:p>
      <w:pPr>
        <w:spacing w:line="400" w:lineRule="exact"/>
        <w:ind w:firstLine="420"/>
        <w:rPr>
          <w:b/>
          <w:bCs/>
        </w:rPr>
      </w:pPr>
      <w:r>
        <w:rPr>
          <w:rFonts w:ascii="宋体" w:hAnsi="宋体" w:eastAsia="宋体" w:cs="宋体"/>
          <w:b/>
          <w:bCs/>
        </w:rPr>
        <w:t>中图分类号：</w:t>
      </w:r>
      <w:r>
        <w:rPr>
          <w:b/>
          <w:bCs/>
          <w:lang w:val="ru-RU"/>
        </w:rPr>
        <w:t xml:space="preserve">G642.3  </w:t>
      </w:r>
      <w:r>
        <w:rPr>
          <w:rFonts w:ascii="宋体" w:hAnsi="宋体" w:eastAsia="宋体" w:cs="宋体"/>
          <w:b/>
          <w:bCs/>
        </w:rPr>
        <w:t>文献标识码：</w:t>
      </w:r>
      <w:r>
        <w:rPr>
          <w:b/>
          <w:bCs/>
        </w:rPr>
        <w:t xml:space="preserve">A  </w:t>
      </w:r>
      <w:r>
        <w:rPr>
          <w:rFonts w:ascii="宋体" w:hAnsi="宋体" w:eastAsia="宋体" w:cs="宋体"/>
          <w:b/>
          <w:bCs/>
        </w:rPr>
        <w:t>文章编号：</w:t>
      </w:r>
    </w:p>
    <w:p>
      <w:pPr>
        <w:spacing w:line="400" w:lineRule="exact"/>
        <w:ind w:firstLine="420"/>
        <w:rPr>
          <w:b/>
          <w:bCs/>
        </w:rPr>
      </w:pPr>
    </w:p>
    <w:p>
      <w:pPr>
        <w:spacing w:line="400" w:lineRule="exact"/>
        <w:ind w:firstLine="420"/>
        <w:rPr>
          <w:b/>
          <w:bCs/>
        </w:rPr>
      </w:pPr>
    </w:p>
    <w:p>
      <w:pPr>
        <w:pStyle w:val="13"/>
        <w:keepNext w:val="0"/>
        <w:keepLines w:val="0"/>
        <w:spacing w:line="400" w:lineRule="exact"/>
        <w:ind w:firstLine="420"/>
        <w:sectPr>
          <w:pgSz w:w="11900" w:h="16840"/>
          <w:pgMar w:top="1440" w:right="1800" w:bottom="1440" w:left="1800" w:header="851" w:footer="992" w:gutter="0"/>
          <w:cols w:space="720" w:num="1"/>
        </w:sectPr>
      </w:pPr>
    </w:p>
    <w:p>
      <w:pPr>
        <w:pStyle w:val="13"/>
        <w:keepNext w:val="0"/>
        <w:keepLines w:val="0"/>
        <w:spacing w:before="0" w:after="0" w:line="400" w:lineRule="exact"/>
        <w:ind w:firstLine="420"/>
        <w:rPr>
          <w:rFonts w:ascii="宋体" w:hAnsi="宋体" w:eastAsia="宋体" w:cs="宋体"/>
          <w:kern w:val="0"/>
          <w:sz w:val="24"/>
          <w:szCs w:val="24"/>
        </w:rPr>
      </w:pPr>
      <w:r>
        <w:rPr>
          <w:rFonts w:ascii="宋体" w:hAnsi="宋体" w:eastAsia="宋体" w:cs="宋体"/>
          <w:kern w:val="0"/>
          <w:sz w:val="24"/>
          <w:szCs w:val="24"/>
          <w:lang w:val="zh-TW" w:eastAsia="zh-TW"/>
        </w:rPr>
        <w:t>一、前言</w:t>
      </w:r>
    </w:p>
    <w:p>
      <w:pPr>
        <w:spacing w:line="400" w:lineRule="exact"/>
        <w:ind w:firstLine="420"/>
      </w:pPr>
      <w:r>
        <w:rPr>
          <w:rFonts w:ascii="宋体" w:hAnsi="宋体" w:eastAsia="宋体" w:cs="宋体"/>
        </w:rPr>
        <w:t>随着我国社会经济制度的深入改革，项目管理受到普遍关注，学术研究和实际应用逐步发展。从管理技术、工具和方法的角度来讲，项目管理已经广泛应用于各行各业，项目管理人才供不应求，被《时代》杂志评为二十一世纪最具前景的</w:t>
      </w:r>
      <w:r>
        <w:t>“</w:t>
      </w:r>
      <w:r>
        <w:rPr>
          <w:rFonts w:ascii="宋体" w:hAnsi="宋体" w:eastAsia="宋体" w:cs="宋体"/>
        </w:rPr>
        <w:t>黄金职业</w:t>
      </w:r>
      <w:r>
        <w:t>”</w:t>
      </w:r>
      <w:r>
        <w:rPr>
          <w:rFonts w:ascii="宋体" w:hAnsi="宋体" w:eastAsia="宋体" w:cs="宋体"/>
        </w:rPr>
        <w:t>。应用型项目管理人才实乃当今社会的一大需求热点。随着我国经济的迅速发展，每年都有大批项目启动，项目涉及领域广泛，涵盖经济、文化、科技、教育、国防等。而目前我国从事项目管理的人员，多数是凭感觉和悟性在摸索一些项目管理的有效方法，真正拥有项目管理理论和实践经验的人才只占极少数。因此，项目管理人才奇缺。目前北京城市学院经济管理学部的工商管理专业项目管理方向正是适应这种需求而设立的。</w:t>
      </w:r>
    </w:p>
    <w:p>
      <w:pPr>
        <w:spacing w:line="400" w:lineRule="exact"/>
        <w:ind w:firstLine="420"/>
      </w:pPr>
      <w:r>
        <w:rPr>
          <w:rFonts w:ascii="宋体" w:hAnsi="宋体" w:eastAsia="宋体" w:cs="宋体"/>
        </w:rPr>
        <w:t>课程体系建设是专业教育深入教学环节的核心，因此，有必要建立项目管理课程统一的课程体系。况且，在市场经济日益深化的条件下，课程体系建设也需要具有主动的市场适应性与灵活性，这些都为课程体系建设带来巨大的挑战</w:t>
      </w:r>
      <w:r>
        <w:rPr>
          <w:rStyle w:val="8"/>
        </w:rPr>
        <w:t>[1]</w:t>
      </w:r>
      <w:r>
        <w:rPr>
          <w:rFonts w:ascii="宋体" w:hAnsi="宋体" w:eastAsia="宋体" w:cs="宋体"/>
        </w:rPr>
        <w:t>。基于应用型项目管理人才培养的视角，探索项目管理课程体系建设，尝试构建应用型项目管理人才培养课程体系，具有一定的理论价值以及现实意义。</w:t>
      </w:r>
    </w:p>
    <w:p>
      <w:pPr>
        <w:pStyle w:val="13"/>
        <w:keepNext w:val="0"/>
        <w:keepLines w:val="0"/>
        <w:spacing w:before="0" w:after="0" w:line="400" w:lineRule="exact"/>
        <w:ind w:firstLine="420"/>
        <w:rPr>
          <w:b w:val="0"/>
          <w:bCs w:val="0"/>
        </w:rPr>
      </w:pPr>
      <w:r>
        <w:rPr>
          <w:rFonts w:ascii="宋体" w:hAnsi="宋体" w:eastAsia="宋体" w:cs="宋体"/>
          <w:kern w:val="0"/>
          <w:sz w:val="24"/>
          <w:szCs w:val="24"/>
          <w:lang w:val="zh-TW" w:eastAsia="zh-TW"/>
        </w:rPr>
        <w:t>二、应用型本科项目管理人才培养课程体系建设的理论基础</w:t>
      </w:r>
    </w:p>
    <w:p>
      <w:pPr>
        <w:spacing w:line="400" w:lineRule="exact"/>
        <w:ind w:firstLine="420"/>
      </w:pPr>
      <w:r>
        <w:rPr>
          <w:rFonts w:ascii="宋体" w:hAnsi="宋体" w:eastAsia="宋体" w:cs="宋体"/>
        </w:rPr>
        <w:t>课程体系建设需要按照国家对高等院校专业课程体系设置的要求，结合高校自身特点和项目管理专业的实际以及市场对人才的需求情况，进行课程体系建设工作</w:t>
      </w:r>
      <w:r>
        <w:rPr>
          <w:rStyle w:val="8"/>
        </w:rPr>
        <w:t>[2]</w:t>
      </w:r>
      <w:r>
        <w:rPr>
          <w:rFonts w:ascii="宋体" w:hAnsi="宋体" w:eastAsia="宋体" w:cs="宋体"/>
        </w:rPr>
        <w:t>。</w:t>
      </w:r>
    </w:p>
    <w:p>
      <w:pPr>
        <w:pStyle w:val="14"/>
        <w:keepNext w:val="0"/>
        <w:keepLines w:val="0"/>
        <w:spacing w:before="0" w:after="0" w:line="400" w:lineRule="exact"/>
        <w:ind w:firstLine="420"/>
        <w:jc w:val="both"/>
        <w:rPr>
          <w:rFonts w:hint="default" w:ascii="宋体" w:hAnsi="宋体" w:eastAsia="宋体" w:cs="宋体"/>
          <w:b/>
          <w:bCs/>
          <w:kern w:val="2"/>
          <w:sz w:val="21"/>
          <w:szCs w:val="21"/>
        </w:rPr>
      </w:pPr>
      <w:r>
        <w:rPr>
          <w:rFonts w:ascii="宋体" w:hAnsi="宋体" w:eastAsia="宋体" w:cs="宋体"/>
          <w:b/>
          <w:bCs/>
          <w:kern w:val="2"/>
          <w:sz w:val="21"/>
          <w:szCs w:val="21"/>
        </w:rPr>
        <w:t>（一）课程性质</w:t>
      </w:r>
    </w:p>
    <w:p>
      <w:pPr>
        <w:spacing w:line="400" w:lineRule="exact"/>
        <w:ind w:firstLine="420"/>
        <w:rPr>
          <w:sz w:val="24"/>
          <w:szCs w:val="24"/>
        </w:rPr>
      </w:pPr>
      <w:r>
        <w:rPr>
          <w:rFonts w:ascii="宋体" w:hAnsi="宋体" w:eastAsia="宋体" w:cs="宋体"/>
        </w:rPr>
        <w:t>项目管理作为一门新兴学科，集成了项目全生命周期中的管理理论、方法和规律，涵盖了法律法规、管理科学、技术经济等很多学科的理论知识。项目管理研究目的是使项目在进度、质量、成本等</w:t>
      </w:r>
      <w:r>
        <w:t>“</w:t>
      </w:r>
      <w:r>
        <w:rPr>
          <w:rFonts w:ascii="宋体" w:hAnsi="宋体" w:eastAsia="宋体" w:cs="宋体"/>
        </w:rPr>
        <w:t>铁三角约束</w:t>
      </w:r>
      <w:r>
        <w:t>”</w:t>
      </w:r>
      <w:r>
        <w:rPr>
          <w:rFonts w:ascii="宋体" w:hAnsi="宋体" w:eastAsia="宋体" w:cs="宋体"/>
        </w:rPr>
        <w:t>下取得最佳功效。项目管理是应用型和综合性很强的课程，在加强基础理论知识的同时必须强化实际应用。</w:t>
      </w:r>
      <w:r>
        <w:rPr>
          <w:rFonts w:ascii="宋体" w:hAnsi="宋体" w:eastAsia="宋体" w:cs="宋体"/>
          <w:vertAlign w:val="superscript"/>
          <w:lang w:val="pt-PT"/>
        </w:rPr>
        <w:t>[3]</w:t>
      </w:r>
    </w:p>
    <w:p>
      <w:pPr>
        <w:pStyle w:val="14"/>
        <w:keepNext w:val="0"/>
        <w:keepLines w:val="0"/>
        <w:spacing w:before="0" w:after="0" w:line="400" w:lineRule="exact"/>
        <w:ind w:firstLine="420"/>
        <w:jc w:val="both"/>
        <w:rPr>
          <w:rFonts w:hint="default" w:ascii="宋体" w:hAnsi="宋体" w:eastAsia="宋体" w:cs="宋体"/>
          <w:b/>
          <w:bCs/>
          <w:kern w:val="2"/>
          <w:sz w:val="21"/>
          <w:szCs w:val="21"/>
        </w:rPr>
      </w:pPr>
      <w:r>
        <w:rPr>
          <w:rFonts w:ascii="宋体" w:hAnsi="宋体" w:eastAsia="宋体" w:cs="宋体"/>
          <w:b/>
          <w:bCs/>
          <w:kern w:val="2"/>
          <w:sz w:val="21"/>
          <w:szCs w:val="21"/>
        </w:rPr>
        <w:t>（二）培养目标</w:t>
      </w:r>
    </w:p>
    <w:p>
      <w:pPr>
        <w:spacing w:line="400" w:lineRule="exact"/>
        <w:ind w:firstLine="420"/>
      </w:pPr>
      <w:r>
        <w:rPr>
          <w:rFonts w:ascii="宋体" w:hAnsi="宋体" w:eastAsia="宋体" w:cs="宋体"/>
        </w:rPr>
        <w:t>培养目标是课程体系设计和课程安排的最终依据。基于培养应用型项目管理人才的眼光探索课程体系建设，结合实际应用项目，着重培养学生的项目管理意识、兴趣与能力，与国家要求的项目管理人才执业资格相对接，注重学生的实践能力、创新创业能力的培养</w:t>
      </w:r>
      <w:r>
        <w:rPr>
          <w:rStyle w:val="8"/>
        </w:rPr>
        <w:t>[4]</w:t>
      </w:r>
      <w:r>
        <w:rPr>
          <w:rFonts w:ascii="宋体" w:hAnsi="宋体" w:eastAsia="宋体" w:cs="宋体"/>
        </w:rPr>
        <w:t>，这是培养目标确立的基准点。</w:t>
      </w:r>
    </w:p>
    <w:p>
      <w:pPr>
        <w:spacing w:line="400" w:lineRule="exact"/>
        <w:ind w:firstLine="420"/>
        <w:rPr>
          <w:color w:val="FF0000"/>
          <w:u w:color="FF0000"/>
        </w:rPr>
      </w:pPr>
      <w:r>
        <w:rPr>
          <w:rFonts w:ascii="宋体" w:hAnsi="宋体" w:eastAsia="宋体" w:cs="宋体"/>
        </w:rPr>
        <w:t>北京城市学院秉承开放式的教学理念，在引进国际优质教学资源的基础上，传递最先进的国际化项目管理理念和方法，专业培养中突出案例教学联系社会实践，注重学术性与职业性的紧密结合。北京城市学院工商管理专业项目管理方向培养学生具备管理学、经济学基础，在熟悉现代项目管理理论和方法的前提下，理解项目管理的</w:t>
      </w:r>
      <w:r>
        <w:t>“</w:t>
      </w:r>
      <w:r>
        <w:rPr>
          <w:rFonts w:ascii="宋体" w:hAnsi="宋体" w:eastAsia="宋体" w:cs="宋体"/>
        </w:rPr>
        <w:t>九五至尊</w:t>
      </w:r>
      <w:r>
        <w:t>”</w:t>
      </w:r>
      <w:r>
        <w:rPr>
          <w:rFonts w:ascii="宋体" w:hAnsi="宋体" w:eastAsia="宋体" w:cs="宋体"/>
        </w:rPr>
        <w:t>，即九大知识领域、五大过程组，掌握项目管理的要点及关键，能够平衡进度、成本、质量的</w:t>
      </w:r>
      <w:r>
        <w:t>“</w:t>
      </w:r>
      <w:r>
        <w:rPr>
          <w:rFonts w:ascii="宋体" w:hAnsi="宋体" w:eastAsia="宋体" w:cs="宋体"/>
        </w:rPr>
        <w:t>铁三角约束</w:t>
      </w:r>
      <w:r>
        <w:t>”</w:t>
      </w:r>
      <w:r>
        <w:rPr>
          <w:rFonts w:ascii="宋体" w:hAnsi="宋体" w:eastAsia="宋体" w:cs="宋体"/>
        </w:rPr>
        <w:t>，培养学生在现有的有限资源的条件下，创造价值最大化的意识和能力，掌握项目管理实践的硬技能</w:t>
      </w:r>
      <w:r>
        <w:rPr>
          <w:lang w:val="en-US"/>
        </w:rPr>
        <w:t>——</w:t>
      </w:r>
      <w:r>
        <w:rPr>
          <w:rFonts w:ascii="宋体" w:hAnsi="宋体" w:eastAsia="宋体" w:cs="宋体"/>
        </w:rPr>
        <w:t>如</w:t>
      </w:r>
      <w:r>
        <w:t>WBS</w:t>
      </w:r>
      <w:r>
        <w:rPr>
          <w:rFonts w:ascii="宋体" w:hAnsi="宋体" w:eastAsia="宋体" w:cs="宋体"/>
        </w:rPr>
        <w:t>、</w:t>
      </w:r>
      <w:r>
        <w:t>RBS</w:t>
      </w:r>
      <w:r>
        <w:rPr>
          <w:rFonts w:ascii="宋体" w:hAnsi="宋体" w:eastAsia="宋体" w:cs="宋体"/>
        </w:rPr>
        <w:t>等，熟练运用策划、评估、实施、运行、收尾等全生命周期项目管理工作的基本理论、知识和技能，能够进行项目可行性分析、风险识别与应对，能够进行项目变更和快速调整，提升项目管理的综合驾驭能力，能够在工商企业、金融机构、政府机关和社会团体等从事项目管理的应用型、复合型中高级项目管理人才。</w:t>
      </w:r>
    </w:p>
    <w:p>
      <w:pPr>
        <w:pStyle w:val="14"/>
        <w:keepNext w:val="0"/>
        <w:keepLines w:val="0"/>
        <w:spacing w:before="0" w:after="0" w:line="400" w:lineRule="exact"/>
        <w:ind w:firstLine="420"/>
        <w:jc w:val="both"/>
        <w:rPr>
          <w:rFonts w:hint="default" w:ascii="宋体" w:hAnsi="宋体" w:eastAsia="宋体" w:cs="宋体"/>
          <w:b/>
          <w:bCs/>
          <w:kern w:val="2"/>
          <w:sz w:val="21"/>
          <w:szCs w:val="21"/>
        </w:rPr>
      </w:pPr>
      <w:r>
        <w:rPr>
          <w:rFonts w:ascii="宋体" w:hAnsi="宋体" w:eastAsia="宋体" w:cs="宋体"/>
          <w:b/>
          <w:bCs/>
          <w:kern w:val="2"/>
          <w:sz w:val="21"/>
          <w:szCs w:val="21"/>
        </w:rPr>
        <w:t>（三）我国项目管理本科专业发展现状</w:t>
      </w:r>
    </w:p>
    <w:p>
      <w:pPr>
        <w:spacing w:line="400" w:lineRule="exact"/>
        <w:ind w:firstLine="420"/>
      </w:pPr>
      <w:r>
        <w:rPr>
          <w:rFonts w:ascii="宋体" w:hAnsi="宋体" w:eastAsia="宋体" w:cs="宋体"/>
        </w:rPr>
        <w:t>近十几年来，我国项目管理专业教育有了很大的发展，然而项目管理专业人才的数量和质量却远远不能满足实际需求。尤其是我国项目管理本科专业人才培养起步比较晚。中央财经大学在</w:t>
      </w:r>
      <w:r>
        <w:t>2004</w:t>
      </w:r>
      <w:r>
        <w:rPr>
          <w:rFonts w:ascii="宋体" w:hAnsi="宋体" w:eastAsia="宋体" w:cs="宋体"/>
        </w:rPr>
        <w:t>年首次进行了项目管理本科培养试点建设，开始设立项目管理本科专业，进行项目管理本科招生，这是我国高等院校首次在本科阶段开设</w:t>
      </w:r>
      <w:r>
        <w:t>“</w:t>
      </w:r>
      <w:r>
        <w:rPr>
          <w:rFonts w:ascii="宋体" w:hAnsi="宋体" w:eastAsia="宋体" w:cs="宋体"/>
        </w:rPr>
        <w:t>项目管理</w:t>
      </w:r>
      <w:r>
        <w:t>”</w:t>
      </w:r>
      <w:r>
        <w:rPr>
          <w:rFonts w:ascii="宋体" w:hAnsi="宋体" w:eastAsia="宋体" w:cs="宋体"/>
        </w:rPr>
        <w:t>本科专业。</w:t>
      </w:r>
    </w:p>
    <w:p>
      <w:pPr>
        <w:spacing w:line="400" w:lineRule="exact"/>
        <w:ind w:firstLine="420"/>
      </w:pPr>
      <w:r>
        <w:rPr>
          <w:rFonts w:ascii="宋体" w:hAnsi="宋体" w:eastAsia="宋体" w:cs="宋体"/>
        </w:rPr>
        <w:t>截止</w:t>
      </w:r>
      <w:r>
        <w:t>2015</w:t>
      </w:r>
      <w:r>
        <w:rPr>
          <w:rFonts w:ascii="宋体" w:hAnsi="宋体" w:eastAsia="宋体" w:cs="宋体"/>
        </w:rPr>
        <w:t>年共有中央财经大学、上海财经大学、辽宁大学、山东财经大学、山西财经大学、内蒙古财经大学、云南财经大学</w:t>
      </w:r>
      <w:r>
        <w:t>7</w:t>
      </w:r>
      <w:r>
        <w:rPr>
          <w:rFonts w:ascii="宋体" w:hAnsi="宋体" w:eastAsia="宋体" w:cs="宋体"/>
        </w:rPr>
        <w:t>所高校设立项目管理本科专业。然而他们基于学校特色，出于对项目管理本科专业学生的不同培养方向，将项目管理专业归属于不同的二级学院。其中中央财经大学、山东财经大学和山西财经大学设立在管理科学和工程学院，上海财经大学设立在公共经济与管理学院，辽宁大学设立在经济学院，内蒙古财经大学设立在会计学院，云南财经大学设立在国际工商学院。从这些院校所开设的课程来看，都是侧重于项目管理的九大知识领域，即整合管理、范围管理、时间管理、成本管理、质量管理、人力资源管理、沟通管理、风险管理以及采购管理。</w:t>
      </w:r>
    </w:p>
    <w:p>
      <w:pPr>
        <w:spacing w:line="400" w:lineRule="exact"/>
        <w:ind w:firstLine="420"/>
      </w:pPr>
      <w:r>
        <w:rPr>
          <w:rFonts w:ascii="宋体" w:hAnsi="宋体" w:eastAsia="宋体" w:cs="宋体"/>
        </w:rPr>
        <w:t>国内除了以上开设项目管理专业的</w:t>
      </w:r>
      <w:r>
        <w:t>7</w:t>
      </w:r>
      <w:r>
        <w:rPr>
          <w:rFonts w:ascii="宋体" w:hAnsi="宋体" w:eastAsia="宋体" w:cs="宋体"/>
        </w:rPr>
        <w:t>所院校，还有其他土建类、电子信息类、财经类、管理学类相近学科门类的</w:t>
      </w:r>
      <w:r>
        <w:t>14</w:t>
      </w:r>
      <w:r>
        <w:rPr>
          <w:rFonts w:ascii="宋体" w:hAnsi="宋体" w:eastAsia="宋体" w:cs="宋体"/>
        </w:rPr>
        <w:t>所院校，包括北京第二外国语学院</w:t>
      </w:r>
      <w:r>
        <w:t>HND</w:t>
      </w:r>
      <w:r>
        <w:rPr>
          <w:rFonts w:ascii="宋体" w:hAnsi="宋体" w:eastAsia="宋体" w:cs="宋体"/>
        </w:rPr>
        <w:t>项目、北京华夏管理学院、大连理工大学城市学院、福建师范大学、广东工业大学华立学院、广东海洋大学寸金学院、贵州师范大学、湖北经济学院、上海大学</w:t>
      </w:r>
      <w:r>
        <w:rPr>
          <w:lang w:val="de-DE"/>
        </w:rPr>
        <w:t>ACCA</w:t>
      </w:r>
      <w:r>
        <w:rPr>
          <w:rFonts w:ascii="宋体" w:hAnsi="宋体" w:eastAsia="宋体" w:cs="宋体"/>
        </w:rPr>
        <w:t>国际项目、山东农业大学、苏州科技学院天平学院、天水师范学院、武汉工商学院、厦门大学嘉庚学院等。</w:t>
      </w:r>
      <w:r>
        <w:rPr>
          <w:rFonts w:ascii="宋体" w:hAnsi="宋体" w:eastAsia="宋体" w:cs="宋体"/>
          <w:vertAlign w:val="superscript"/>
          <w:lang w:val="pt-PT"/>
        </w:rPr>
        <w:t>[5]</w:t>
      </w:r>
    </w:p>
    <w:p>
      <w:pPr>
        <w:pStyle w:val="14"/>
        <w:keepNext w:val="0"/>
        <w:keepLines w:val="0"/>
        <w:spacing w:before="0" w:after="0" w:line="400" w:lineRule="exact"/>
        <w:ind w:firstLine="420"/>
        <w:jc w:val="both"/>
        <w:rPr>
          <w:rFonts w:hint="default" w:ascii="宋体" w:hAnsi="宋体" w:eastAsia="宋体" w:cs="宋体"/>
          <w:b/>
          <w:bCs/>
          <w:kern w:val="2"/>
          <w:sz w:val="21"/>
          <w:szCs w:val="21"/>
        </w:rPr>
      </w:pPr>
      <w:r>
        <w:rPr>
          <w:rFonts w:ascii="宋体" w:hAnsi="宋体" w:eastAsia="宋体" w:cs="宋体"/>
          <w:b/>
          <w:bCs/>
          <w:kern w:val="2"/>
          <w:sz w:val="21"/>
          <w:szCs w:val="21"/>
        </w:rPr>
        <w:t>（四）项目管理课程体系建设探索</w:t>
      </w:r>
    </w:p>
    <w:p>
      <w:pPr>
        <w:spacing w:line="400" w:lineRule="exact"/>
        <w:ind w:firstLine="420"/>
      </w:pPr>
      <w:r>
        <w:rPr>
          <w:rFonts w:ascii="宋体" w:hAnsi="宋体" w:eastAsia="宋体" w:cs="宋体"/>
        </w:rPr>
        <w:t>项目管理培养涉及项目管理领域的，能进行项目决策，有效组织、管理和实施项目实践全过程的复合型中高级管理人才。在课程体系设置上应体现</w:t>
      </w:r>
      <w:r>
        <w:t>“</w:t>
      </w:r>
      <w:r>
        <w:rPr>
          <w:rFonts w:ascii="宋体" w:hAnsi="宋体" w:eastAsia="宋体" w:cs="宋体"/>
        </w:rPr>
        <w:t>模块化</w:t>
      </w:r>
      <w:r>
        <w:t>”</w:t>
      </w:r>
      <w:r>
        <w:rPr>
          <w:rFonts w:ascii="宋体" w:hAnsi="宋体" w:eastAsia="宋体" w:cs="宋体"/>
        </w:rPr>
        <w:t>的项目管理学科知识体系和行业的最新理念，即以项目实践为主线，采用</w:t>
      </w:r>
      <w:r>
        <w:t>“</w:t>
      </w:r>
      <w:r>
        <w:rPr>
          <w:rFonts w:ascii="宋体" w:hAnsi="宋体" w:eastAsia="宋体" w:cs="宋体"/>
        </w:rPr>
        <w:t>平台</w:t>
      </w:r>
      <w:r>
        <w:t>+</w:t>
      </w:r>
      <w:r>
        <w:rPr>
          <w:rFonts w:ascii="宋体" w:hAnsi="宋体" w:eastAsia="宋体" w:cs="宋体"/>
        </w:rPr>
        <w:t>模块</w:t>
      </w:r>
      <w:r>
        <w:t>”</w:t>
      </w:r>
      <w:r>
        <w:rPr>
          <w:rFonts w:ascii="宋体" w:hAnsi="宋体" w:eastAsia="宋体" w:cs="宋体"/>
        </w:rPr>
        <w:t>的课程体系。首先，平台中的课程是要求学生必须掌握的共同知识，涵盖公共基础、专业基础等方面的知识，反映人才培养的基本规格和全面发展的共性要求。另外，模块是由多个相互独立的专业模块课程组成的，按照项目的生产服务过程和项目全生命周期的知识模块来设置课程，课程内容囊括项目管理知识体系、案例精讲、双向互动教学等，体现人才培养的多元化需求。</w:t>
      </w:r>
    </w:p>
    <w:p>
      <w:pPr>
        <w:spacing w:line="400" w:lineRule="exact"/>
        <w:ind w:firstLine="420"/>
      </w:pPr>
      <w:r>
        <w:rPr>
          <w:rFonts w:ascii="宋体" w:hAnsi="宋体" w:eastAsia="宋体" w:cs="宋体"/>
        </w:rPr>
        <w:t>鉴于此，</w:t>
      </w:r>
      <w:r>
        <w:t>“</w:t>
      </w:r>
      <w:r>
        <w:rPr>
          <w:rFonts w:ascii="宋体" w:hAnsi="宋体" w:eastAsia="宋体" w:cs="宋体"/>
        </w:rPr>
        <w:t>平台</w:t>
      </w:r>
      <w:r>
        <w:t>+</w:t>
      </w:r>
      <w:r>
        <w:rPr>
          <w:rFonts w:ascii="宋体" w:hAnsi="宋体" w:eastAsia="宋体" w:cs="宋体"/>
        </w:rPr>
        <w:t>模块</w:t>
      </w:r>
      <w:r>
        <w:t>”</w:t>
      </w:r>
      <w:r>
        <w:rPr>
          <w:rFonts w:ascii="宋体" w:hAnsi="宋体" w:eastAsia="宋体" w:cs="宋体"/>
        </w:rPr>
        <w:t>课程体系实质上是分别针对学生的共性和个性要求而设计的一种能够较好地满足项目管理人才培养的课程体系结构。</w:t>
      </w:r>
    </w:p>
    <w:p>
      <w:pPr>
        <w:pStyle w:val="13"/>
        <w:keepNext w:val="0"/>
        <w:keepLines w:val="0"/>
        <w:spacing w:before="0" w:after="0" w:line="400" w:lineRule="exact"/>
        <w:ind w:firstLine="420"/>
        <w:rPr>
          <w:b w:val="0"/>
          <w:bCs w:val="0"/>
        </w:rPr>
      </w:pPr>
      <w:r>
        <w:rPr>
          <w:rFonts w:ascii="宋体" w:hAnsi="宋体" w:eastAsia="宋体" w:cs="宋体"/>
          <w:kern w:val="0"/>
          <w:sz w:val="24"/>
          <w:szCs w:val="24"/>
          <w:lang w:val="zh-TW" w:eastAsia="zh-TW"/>
        </w:rPr>
        <w:t>三、应用型本科项目管理人才培养课程体系建设</w:t>
      </w:r>
    </w:p>
    <w:p>
      <w:pPr>
        <w:pStyle w:val="14"/>
        <w:keepNext w:val="0"/>
        <w:keepLines w:val="0"/>
        <w:spacing w:before="0" w:after="0" w:line="400" w:lineRule="exact"/>
        <w:ind w:firstLine="420"/>
        <w:jc w:val="both"/>
        <w:rPr>
          <w:rFonts w:hint="default" w:ascii="宋体" w:hAnsi="宋体" w:eastAsia="宋体" w:cs="宋体"/>
          <w:b/>
          <w:bCs/>
          <w:sz w:val="21"/>
          <w:szCs w:val="21"/>
        </w:rPr>
      </w:pPr>
      <w:r>
        <w:rPr>
          <w:rFonts w:ascii="宋体" w:hAnsi="宋体" w:eastAsia="宋体" w:cs="宋体"/>
          <w:b/>
          <w:bCs/>
          <w:kern w:val="2"/>
          <w:sz w:val="21"/>
          <w:szCs w:val="21"/>
        </w:rPr>
        <w:t>（一）课程体系建设思路</w:t>
      </w:r>
    </w:p>
    <w:p>
      <w:pPr>
        <w:spacing w:line="400" w:lineRule="exact"/>
        <w:ind w:firstLine="420"/>
        <w:rPr>
          <w:sz w:val="24"/>
          <w:szCs w:val="24"/>
        </w:rPr>
      </w:pPr>
      <w:r>
        <w:rPr>
          <w:rFonts w:ascii="宋体" w:hAnsi="宋体" w:eastAsia="宋体" w:cs="宋体"/>
          <w:sz w:val="24"/>
          <w:szCs w:val="24"/>
        </w:rPr>
        <w:t>项目管理是一个完善的学科体系，广泛应用了众多学科的理论知识和方法体系。项目管理的研究对象是项目，而项目是一次性的、不重复的，有各自专有的过程和结果，并且是未知的、不确定的。因此，项目管理课程体系建设以</w:t>
      </w:r>
      <w:r>
        <w:rPr>
          <w:sz w:val="24"/>
          <w:szCs w:val="24"/>
        </w:rPr>
        <w:t>“</w:t>
      </w:r>
      <w:r>
        <w:rPr>
          <w:rFonts w:ascii="宋体" w:hAnsi="宋体" w:eastAsia="宋体" w:cs="宋体"/>
          <w:sz w:val="24"/>
          <w:szCs w:val="24"/>
        </w:rPr>
        <w:t>应用型人才培养</w:t>
      </w:r>
      <w:r>
        <w:rPr>
          <w:sz w:val="24"/>
          <w:szCs w:val="24"/>
        </w:rPr>
        <w:t>”</w:t>
      </w:r>
      <w:r>
        <w:rPr>
          <w:rFonts w:ascii="宋体" w:hAnsi="宋体" w:eastAsia="宋体" w:cs="宋体"/>
          <w:sz w:val="24"/>
          <w:szCs w:val="24"/>
        </w:rPr>
        <w:t>为目标，在专业基础理论知识的基础上，使学生向从事项目实践的应用方向拓展。结合行业及专业特征，进行项目管理课程体系的建设。</w:t>
      </w:r>
      <w:r>
        <w:rPr>
          <w:rFonts w:ascii="宋体" w:hAnsi="宋体" w:eastAsia="宋体" w:cs="宋体"/>
          <w:vertAlign w:val="superscript"/>
          <w:lang w:val="pt-PT"/>
        </w:rPr>
        <w:t>[6]</w:t>
      </w:r>
    </w:p>
    <w:p>
      <w:pPr>
        <w:spacing w:line="400" w:lineRule="exact"/>
        <w:ind w:firstLine="420"/>
        <w:rPr>
          <w:sz w:val="24"/>
          <w:szCs w:val="24"/>
        </w:rPr>
      </w:pPr>
      <w:r>
        <w:rPr>
          <w:rFonts w:ascii="宋体" w:hAnsi="宋体" w:eastAsia="宋体" w:cs="宋体"/>
          <w:sz w:val="24"/>
          <w:szCs w:val="24"/>
        </w:rPr>
        <w:t>课程体系建设思路如图</w:t>
      </w:r>
      <w:r>
        <w:rPr>
          <w:sz w:val="24"/>
          <w:szCs w:val="24"/>
        </w:rPr>
        <w:t>1</w:t>
      </w:r>
      <w:r>
        <w:rPr>
          <w:rFonts w:ascii="宋体" w:hAnsi="宋体" w:eastAsia="宋体" w:cs="宋体"/>
          <w:sz w:val="24"/>
          <w:szCs w:val="24"/>
        </w:rPr>
        <w:t>所示。</w:t>
      </w:r>
    </w:p>
    <w:p>
      <w:pPr>
        <w:pStyle w:val="14"/>
        <w:keepNext w:val="0"/>
        <w:keepLines w:val="0"/>
        <w:spacing w:line="400" w:lineRule="exact"/>
        <w:jc w:val="both"/>
        <w:rPr>
          <w:rFonts w:hint="default"/>
        </w:rPr>
        <w:sectPr>
          <w:headerReference r:id="rId4" w:type="default"/>
          <w:footerReference r:id="rId5" w:type="default"/>
          <w:type w:val="continuous"/>
          <w:pgSz w:w="11900" w:h="16840"/>
          <w:pgMar w:top="1440" w:right="1800" w:bottom="1440" w:left="1800" w:header="851" w:footer="992" w:gutter="0"/>
          <w:cols w:space="425" w:num="2"/>
        </w:sectPr>
      </w:pPr>
    </w:p>
    <w:p>
      <w:pPr>
        <w:pStyle w:val="14"/>
        <w:keepNext w:val="0"/>
        <w:keepLines w:val="0"/>
        <w:spacing w:line="360" w:lineRule="auto"/>
        <w:jc w:val="both"/>
        <w:rPr>
          <w:rFonts w:hint="default" w:ascii="宋体" w:hAnsi="宋体" w:eastAsia="宋体" w:cs="宋体"/>
          <w:kern w:val="2"/>
          <w:sz w:val="24"/>
          <w:szCs w:val="24"/>
        </w:rPr>
      </w:pPr>
      <w:r>
        <w:rPr>
          <w:rFonts w:ascii="仿宋_GB2312" w:hAnsi="仿宋_GB2312" w:eastAsia="仿宋_GB2312" w:cs="仿宋_GB2312"/>
          <w:sz w:val="24"/>
          <w:szCs w:val="24"/>
          <w:lang w:val="en-CA" w:eastAsia="zh-CN"/>
        </w:rPr>
        <w:drawing>
          <wp:inline distT="0" distB="0" distL="0" distR="0">
            <wp:extent cx="5269230" cy="1782445"/>
            <wp:effectExtent l="0" t="0" r="0" b="0"/>
            <wp:docPr id="1073741825"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21" cstate="print"/>
                    <a:stretch>
                      <a:fillRect/>
                    </a:stretch>
                  </pic:blipFill>
                  <pic:spPr>
                    <a:xfrm>
                      <a:off x="0" y="0"/>
                      <a:ext cx="5269230" cy="1782446"/>
                    </a:xfrm>
                    <a:prstGeom prst="rect">
                      <a:avLst/>
                    </a:prstGeom>
                    <a:ln w="12700" cap="flat">
                      <a:noFill/>
                      <a:miter lim="400000"/>
                      <a:headEnd/>
                      <a:tailEnd/>
                    </a:ln>
                    <a:effectLst/>
                  </pic:spPr>
                </pic:pic>
              </a:graphicData>
            </a:graphic>
          </wp:inline>
        </w:drawing>
      </w:r>
    </w:p>
    <w:p>
      <w:pPr>
        <w:spacing w:line="400" w:lineRule="exact"/>
        <w:jc w:val="center"/>
        <w:rPr>
          <w:rFonts w:ascii="宋体" w:hAnsi="宋体" w:eastAsia="宋体" w:cs="宋体"/>
        </w:rPr>
      </w:pPr>
      <w:r>
        <w:rPr>
          <w:rFonts w:ascii="宋体" w:hAnsi="宋体" w:eastAsia="宋体" w:cs="宋体"/>
        </w:rPr>
        <w:t>图1 课程体系建设思路</w:t>
      </w:r>
    </w:p>
    <w:p>
      <w:pPr>
        <w:spacing w:line="360" w:lineRule="auto"/>
        <w:rPr>
          <w:rFonts w:ascii="宋体" w:hAnsi="宋体" w:eastAsia="宋体" w:cs="宋体"/>
        </w:rPr>
      </w:pPr>
    </w:p>
    <w:p>
      <w:pPr>
        <w:pStyle w:val="14"/>
        <w:keepNext w:val="0"/>
        <w:keepLines w:val="0"/>
        <w:spacing w:line="400" w:lineRule="exact"/>
        <w:ind w:firstLine="420"/>
        <w:jc w:val="both"/>
        <w:rPr>
          <w:rFonts w:hint="default"/>
        </w:rPr>
        <w:sectPr>
          <w:headerReference r:id="rId6" w:type="default"/>
          <w:footerReference r:id="rId7" w:type="default"/>
          <w:type w:val="continuous"/>
          <w:pgSz w:w="11900" w:h="16840"/>
          <w:pgMar w:top="1440" w:right="1800" w:bottom="1440" w:left="1800" w:header="851" w:footer="992" w:gutter="0"/>
          <w:cols w:space="720" w:num="1"/>
        </w:sectPr>
      </w:pPr>
    </w:p>
    <w:p>
      <w:pPr>
        <w:pStyle w:val="14"/>
        <w:keepNext w:val="0"/>
        <w:keepLines w:val="0"/>
        <w:spacing w:before="0" w:after="0" w:line="400" w:lineRule="exact"/>
        <w:ind w:firstLine="420"/>
        <w:jc w:val="both"/>
        <w:rPr>
          <w:rFonts w:hint="default" w:ascii="宋体" w:hAnsi="宋体" w:eastAsia="宋体" w:cs="宋体"/>
          <w:b/>
          <w:bCs/>
          <w:sz w:val="21"/>
          <w:szCs w:val="21"/>
        </w:rPr>
      </w:pPr>
      <w:r>
        <w:rPr>
          <w:rFonts w:ascii="宋体" w:hAnsi="宋体" w:eastAsia="宋体" w:cs="宋体"/>
          <w:b/>
          <w:bCs/>
          <w:kern w:val="2"/>
          <w:sz w:val="21"/>
          <w:szCs w:val="21"/>
        </w:rPr>
        <w:t>（二）构建</w:t>
      </w:r>
      <w:r>
        <w:rPr>
          <w:rFonts w:ascii="宋体" w:hAnsi="宋体" w:eastAsia="宋体" w:cs="宋体"/>
          <w:b/>
          <w:bCs/>
          <w:kern w:val="2"/>
          <w:sz w:val="21"/>
          <w:szCs w:val="21"/>
          <w:lang w:val="en-US"/>
        </w:rPr>
        <w:t>“</w:t>
      </w:r>
      <w:r>
        <w:rPr>
          <w:rFonts w:ascii="宋体" w:hAnsi="宋体" w:eastAsia="宋体" w:cs="宋体"/>
          <w:b/>
          <w:bCs/>
          <w:kern w:val="2"/>
          <w:sz w:val="21"/>
          <w:szCs w:val="21"/>
        </w:rPr>
        <w:t>四个平台+四个模块</w:t>
      </w:r>
      <w:r>
        <w:rPr>
          <w:rFonts w:ascii="宋体" w:hAnsi="宋体" w:eastAsia="宋体" w:cs="宋体"/>
          <w:b/>
          <w:bCs/>
          <w:kern w:val="2"/>
          <w:sz w:val="21"/>
          <w:szCs w:val="21"/>
          <w:lang w:val="en-US"/>
        </w:rPr>
        <w:t>”</w:t>
      </w:r>
      <w:r>
        <w:rPr>
          <w:rFonts w:ascii="宋体" w:hAnsi="宋体" w:eastAsia="宋体" w:cs="宋体"/>
          <w:b/>
          <w:bCs/>
          <w:kern w:val="2"/>
          <w:sz w:val="21"/>
          <w:szCs w:val="21"/>
        </w:rPr>
        <w:t>的课程体系</w:t>
      </w:r>
    </w:p>
    <w:p>
      <w:pPr>
        <w:spacing w:line="400" w:lineRule="exact"/>
        <w:ind w:firstLine="420"/>
      </w:pPr>
      <w:r>
        <w:rPr>
          <w:rFonts w:ascii="宋体" w:hAnsi="宋体" w:eastAsia="宋体" w:cs="宋体"/>
        </w:rPr>
        <w:t>按照项目管理知识手册</w:t>
      </w:r>
      <w:r>
        <w:rPr>
          <w:lang w:val="en-US"/>
        </w:rPr>
        <w:t>——</w:t>
      </w:r>
      <w:r>
        <w:t>PMBOK</w:t>
      </w:r>
      <w:r>
        <w:rPr>
          <w:rFonts w:ascii="宋体" w:hAnsi="宋体" w:eastAsia="宋体" w:cs="宋体"/>
        </w:rPr>
        <w:t>的导向，考虑涵盖整合管理、范围管理、时间管理、成本管理、质量管理、人力资源管理、沟通管理、风险管理以及采购管理的九大知识体系，按照应用型本科项目管理专业的培养目标，构建由</w:t>
      </w:r>
      <w:r>
        <w:t>“</w:t>
      </w:r>
      <w:r>
        <w:rPr>
          <w:rFonts w:ascii="宋体" w:hAnsi="宋体" w:eastAsia="宋体" w:cs="宋体"/>
        </w:rPr>
        <w:t>四个平台</w:t>
      </w:r>
      <w:r>
        <w:t>+</w:t>
      </w:r>
      <w:r>
        <w:rPr>
          <w:rFonts w:ascii="宋体" w:hAnsi="宋体" w:eastAsia="宋体" w:cs="宋体"/>
        </w:rPr>
        <w:t>四个模块</w:t>
      </w:r>
      <w:r>
        <w:t>”</w:t>
      </w:r>
      <w:r>
        <w:rPr>
          <w:rFonts w:ascii="宋体" w:hAnsi="宋体" w:eastAsia="宋体" w:cs="宋体"/>
        </w:rPr>
        <w:t>构成的应用型项目管理人才培养课程体系。如图</w:t>
      </w:r>
      <w:r>
        <w:t>2</w:t>
      </w:r>
      <w:r>
        <w:rPr>
          <w:rFonts w:ascii="宋体" w:hAnsi="宋体" w:eastAsia="宋体" w:cs="宋体"/>
        </w:rPr>
        <w:t>所示。</w:t>
      </w:r>
    </w:p>
    <w:p>
      <w:pPr>
        <w:spacing w:line="400" w:lineRule="exact"/>
        <w:ind w:firstLine="420"/>
        <w:sectPr>
          <w:headerReference r:id="rId8" w:type="default"/>
          <w:footerReference r:id="rId9" w:type="default"/>
          <w:type w:val="continuous"/>
          <w:pgSz w:w="11900" w:h="16840"/>
          <w:pgMar w:top="1440" w:right="1800" w:bottom="1440" w:left="1800" w:header="851" w:footer="992" w:gutter="0"/>
          <w:cols w:space="425" w:num="2"/>
        </w:sectPr>
      </w:pPr>
    </w:p>
    <w:p>
      <w:pPr>
        <w:rPr>
          <w:sz w:val="24"/>
          <w:szCs w:val="24"/>
        </w:rPr>
      </w:pPr>
      <w:r>
        <w:rPr>
          <w:lang w:val="en-CA" w:eastAsia="zh-CN"/>
        </w:rPr>
        <w:drawing>
          <wp:inline distT="0" distB="0" distL="0" distR="0">
            <wp:extent cx="5261610" cy="2254885"/>
            <wp:effectExtent l="0" t="0" r="0" b="0"/>
            <wp:docPr id="1073741826"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officeArt object"/>
                    <pic:cNvPicPr>
                      <a:picLocks noChangeAspect="1"/>
                    </pic:cNvPicPr>
                  </pic:nvPicPr>
                  <pic:blipFill>
                    <a:blip r:embed="rId22" cstate="print"/>
                    <a:stretch>
                      <a:fillRect/>
                    </a:stretch>
                  </pic:blipFill>
                  <pic:spPr>
                    <a:xfrm>
                      <a:off x="0" y="0"/>
                      <a:ext cx="5261610" cy="2254886"/>
                    </a:xfrm>
                    <a:prstGeom prst="rect">
                      <a:avLst/>
                    </a:prstGeom>
                    <a:ln w="12700" cap="flat">
                      <a:noFill/>
                      <a:miter lim="400000"/>
                      <a:headEnd/>
                      <a:tailEnd/>
                    </a:ln>
                    <a:effectLst/>
                  </pic:spPr>
                </pic:pic>
              </a:graphicData>
            </a:graphic>
          </wp:inline>
        </w:drawing>
      </w:r>
    </w:p>
    <w:p>
      <w:pPr>
        <w:spacing w:line="400" w:lineRule="exact"/>
        <w:jc w:val="center"/>
      </w:pPr>
      <w:r>
        <w:rPr>
          <w:rFonts w:ascii="宋体" w:hAnsi="宋体" w:eastAsia="宋体" w:cs="宋体"/>
        </w:rPr>
        <w:t>图</w:t>
      </w:r>
      <w:r>
        <w:t xml:space="preserve">2 </w:t>
      </w:r>
      <w:r>
        <w:rPr>
          <w:rFonts w:ascii="宋体" w:hAnsi="宋体" w:eastAsia="宋体" w:cs="宋体"/>
        </w:rPr>
        <w:t>应用型项目管理人才培养课程体系设计</w:t>
      </w:r>
    </w:p>
    <w:p>
      <w:pPr>
        <w:widowControl/>
        <w:spacing w:line="400" w:lineRule="exact"/>
        <w:ind w:firstLine="480"/>
        <w:jc w:val="left"/>
        <w:sectPr>
          <w:headerReference r:id="rId10" w:type="default"/>
          <w:footerReference r:id="rId11" w:type="default"/>
          <w:type w:val="continuous"/>
          <w:pgSz w:w="11900" w:h="16840"/>
          <w:pgMar w:top="1440" w:right="1800" w:bottom="1440" w:left="1800" w:header="851" w:footer="992" w:gutter="0"/>
          <w:cols w:space="720" w:num="1"/>
        </w:sectPr>
      </w:pPr>
    </w:p>
    <w:p>
      <w:pPr>
        <w:widowControl/>
        <w:spacing w:line="400" w:lineRule="exact"/>
        <w:ind w:firstLine="420"/>
        <w:jc w:val="left"/>
      </w:pPr>
      <w:r>
        <w:rPr>
          <w:rFonts w:ascii="宋体" w:hAnsi="宋体" w:eastAsia="宋体" w:cs="宋体"/>
        </w:rPr>
        <w:t>第一平台为公共基础模块，主要包括通识教育模块、学科基础模块、公共选修模块等三大模块。一是通识教育模块，包括思想政治理论课（思想道德修养与法律基础、中国近现代史纲要、马克思主义基本原理、毛泽东思想和中国特色社会主义理论体系概论）、体育课、外语课等；二是学科基础模块，包括计算机应用基础、信息检索及应用、形式与政策等；三是公共选修模块，包括职业生涯规划课、文化素质教育课、就业模拟实践课等类似的成长发展辅导课程，以及社会调查与实践类似的公共能力培训课程等。</w:t>
      </w:r>
    </w:p>
    <w:p>
      <w:pPr>
        <w:widowControl/>
        <w:spacing w:line="400" w:lineRule="exact"/>
        <w:ind w:firstLine="420"/>
        <w:jc w:val="left"/>
      </w:pPr>
      <w:r>
        <w:rPr>
          <w:rFonts w:ascii="宋体" w:hAnsi="宋体" w:eastAsia="宋体" w:cs="宋体"/>
        </w:rPr>
        <w:t>第二个平台为学科专业模块，主要包括专业基础模块、跨学科选修模块、专业拓展模块等三大模块。一是专业基础模块，包括高等数学、经济学、管理学、会计学等；二是跨学科选修模块，包括人力资源管理、财务管理、管理运筹学等；三是专业拓展模块，包括电子商务、沟通与谈判、商务应用写作等。</w:t>
      </w:r>
    </w:p>
    <w:p>
      <w:pPr>
        <w:widowControl/>
        <w:spacing w:line="400" w:lineRule="exact"/>
        <w:ind w:firstLine="420"/>
        <w:jc w:val="left"/>
      </w:pPr>
      <w:r>
        <w:rPr>
          <w:rFonts w:ascii="宋体" w:hAnsi="宋体" w:eastAsia="宋体" w:cs="宋体"/>
        </w:rPr>
        <w:t>第三个平台为专业综合模块，主要包括专业必选模块、课程实践模块、专业实践模块等三大模块。一是专业必修模块，包括项目管理导论、项目计划与控制、项目进度管理、项目质量管理、项目成本管理、项目融资与风险管理等；二是课程实践模块，包括项目管理案例分析等类似的课程；三是专业实践模块，包括专业导论、专业实习、毕业实习、毕业设计（论文）与综合训练等。</w:t>
      </w:r>
    </w:p>
    <w:p>
      <w:pPr>
        <w:widowControl/>
        <w:spacing w:line="400" w:lineRule="exact"/>
        <w:ind w:firstLine="420"/>
        <w:jc w:val="left"/>
      </w:pPr>
      <w:r>
        <w:rPr>
          <w:rFonts w:ascii="宋体" w:hAnsi="宋体" w:eastAsia="宋体" w:cs="宋体"/>
        </w:rPr>
        <w:t>第四个平台为课外活动模块，主要包括课外科技活动模块、校园文化活动模块、社会实践活动模块等三个模块。</w:t>
      </w:r>
    </w:p>
    <w:p>
      <w:pPr>
        <w:pStyle w:val="13"/>
        <w:keepNext w:val="0"/>
        <w:keepLines w:val="0"/>
        <w:spacing w:before="0" w:after="0" w:line="400" w:lineRule="exact"/>
        <w:ind w:firstLine="420"/>
        <w:rPr>
          <w:b w:val="0"/>
          <w:bCs w:val="0"/>
        </w:rPr>
      </w:pPr>
      <w:r>
        <w:rPr>
          <w:rFonts w:ascii="宋体" w:hAnsi="宋体" w:eastAsia="宋体" w:cs="宋体"/>
          <w:kern w:val="0"/>
          <w:sz w:val="24"/>
          <w:szCs w:val="24"/>
          <w:lang w:val="zh-TW" w:eastAsia="zh-TW"/>
        </w:rPr>
        <w:t>四、结语</w:t>
      </w:r>
    </w:p>
    <w:p>
      <w:pPr>
        <w:widowControl/>
        <w:spacing w:line="400" w:lineRule="exact"/>
        <w:ind w:firstLine="420"/>
        <w:jc w:val="left"/>
      </w:pPr>
      <w:r>
        <w:rPr>
          <w:rFonts w:ascii="宋体" w:hAnsi="宋体" w:eastAsia="宋体" w:cs="宋体"/>
        </w:rPr>
        <w:t>课程体系的建设成效需要在实践中加以检验并逐步完善，从而形成一套科学可行的人才培养模式。北京城市学院应结合自身学校特色，从地区经济发展和产业结构调整的实际需求以及信息技术、互联网等高科技快速发展的现实出发，进而发挥已有学科的专业优势，将新开设的项目管理专业方向作为新的专业生长点，主动适应社会对人才需求的变化，还可以使新设的项目管理专业方向和原有方向在师资力量、教学设施设备等资源上实现共享。加强应用型本科项目管理专业人才培养课程体系建设，提高项目管理专业教学质量，从基础做起，从教学和学生的需要做起。只有这样，才能适应社会对应用型人才的需求。</w:t>
      </w:r>
    </w:p>
    <w:p>
      <w:pPr>
        <w:widowControl/>
        <w:spacing w:line="400" w:lineRule="exact"/>
        <w:ind w:firstLine="480"/>
        <w:jc w:val="left"/>
        <w:sectPr>
          <w:headerReference r:id="rId12" w:type="default"/>
          <w:footerReference r:id="rId13" w:type="default"/>
          <w:type w:val="continuous"/>
          <w:pgSz w:w="11900" w:h="16840"/>
          <w:pgMar w:top="1440" w:right="1800" w:bottom="1440" w:left="1800" w:header="851" w:footer="992" w:gutter="0"/>
          <w:cols w:space="425" w:num="2"/>
        </w:sectPr>
      </w:pPr>
    </w:p>
    <w:p>
      <w:pPr>
        <w:spacing w:line="400" w:lineRule="exact"/>
        <w:sectPr>
          <w:headerReference r:id="rId14" w:type="default"/>
          <w:footerReference r:id="rId15" w:type="default"/>
          <w:type w:val="continuous"/>
          <w:pgSz w:w="11900" w:h="16840"/>
          <w:pgMar w:top="1440" w:right="1800" w:bottom="1440" w:left="1800" w:header="851" w:footer="992" w:gutter="0"/>
          <w:cols w:space="720" w:num="1"/>
        </w:sectPr>
      </w:pPr>
    </w:p>
    <w:p>
      <w:pPr>
        <w:spacing w:line="400" w:lineRule="exact"/>
        <w:rPr>
          <w:b/>
          <w:bCs/>
        </w:rPr>
      </w:pPr>
      <w:r>
        <w:rPr>
          <w:rFonts w:ascii="宋体" w:hAnsi="宋体" w:eastAsia="宋体" w:cs="宋体"/>
          <w:b/>
          <w:bCs/>
        </w:rPr>
        <w:t>参考文献：</w:t>
      </w:r>
    </w:p>
    <w:p>
      <w:pPr>
        <w:spacing w:line="400" w:lineRule="exact"/>
      </w:pPr>
      <w:r>
        <w:rPr>
          <w:lang w:val="pt-PT"/>
        </w:rPr>
        <w:t xml:space="preserve">[1] </w:t>
      </w:r>
      <w:r>
        <w:rPr>
          <w:rFonts w:ascii="宋体" w:hAnsi="宋体" w:eastAsia="宋体" w:cs="宋体"/>
        </w:rPr>
        <w:t>郭燕聂</w:t>
      </w:r>
      <w:r>
        <w:t>.</w:t>
      </w:r>
      <w:r>
        <w:rPr>
          <w:rFonts w:ascii="宋体" w:hAnsi="宋体" w:eastAsia="宋体" w:cs="宋体"/>
        </w:rPr>
        <w:t>本科专业建设的项目管理模式研究与探索</w:t>
      </w:r>
      <w:r>
        <w:t>-</w:t>
      </w:r>
      <w:r>
        <w:rPr>
          <w:rFonts w:ascii="宋体" w:hAnsi="宋体" w:eastAsia="宋体" w:cs="宋体"/>
        </w:rPr>
        <w:t>以广西大学为例</w:t>
      </w:r>
      <w:r>
        <w:rPr>
          <w:lang w:val="pt-PT"/>
        </w:rPr>
        <w:t>[D].</w:t>
      </w:r>
      <w:r>
        <w:rPr>
          <w:rFonts w:ascii="宋体" w:hAnsi="宋体" w:eastAsia="宋体" w:cs="宋体"/>
        </w:rPr>
        <w:t>广西大学，</w:t>
      </w:r>
      <w:r>
        <w:t>2010</w:t>
      </w:r>
      <w:r>
        <w:rPr>
          <w:rFonts w:ascii="宋体" w:hAnsi="宋体" w:eastAsia="宋体" w:cs="宋体"/>
        </w:rPr>
        <w:t>（</w:t>
      </w:r>
      <w:r>
        <w:t>6</w:t>
      </w:r>
      <w:r>
        <w:rPr>
          <w:rFonts w:ascii="宋体" w:hAnsi="宋体" w:eastAsia="宋体" w:cs="宋体"/>
        </w:rPr>
        <w:t>）：</w:t>
      </w:r>
      <w:r>
        <w:t>1.</w:t>
      </w:r>
    </w:p>
    <w:p>
      <w:pPr>
        <w:spacing w:line="400" w:lineRule="exact"/>
      </w:pPr>
      <w:r>
        <w:rPr>
          <w:lang w:val="pt-PT"/>
        </w:rPr>
        <w:t>[2]</w:t>
      </w:r>
      <w:r>
        <w:rPr>
          <w:rFonts w:ascii="宋体" w:hAnsi="宋体" w:eastAsia="宋体" w:cs="宋体"/>
        </w:rPr>
        <w:t>段春莉</w:t>
      </w:r>
      <w:r>
        <w:t>.</w:t>
      </w:r>
      <w:r>
        <w:rPr>
          <w:rFonts w:ascii="宋体" w:hAnsi="宋体" w:eastAsia="宋体" w:cs="宋体"/>
        </w:rPr>
        <w:t>高职院校专业设置与建设实证研究</w:t>
      </w:r>
      <w:r>
        <w:rPr>
          <w:lang w:val="en-US"/>
        </w:rPr>
        <w:t>——</w:t>
      </w:r>
      <w:r>
        <w:rPr>
          <w:rFonts w:ascii="宋体" w:hAnsi="宋体" w:eastAsia="宋体" w:cs="宋体"/>
        </w:rPr>
        <w:t>项目管理专业设置与建设的思路与实施</w:t>
      </w:r>
      <w:r>
        <w:rPr>
          <w:lang w:val="pt-PT"/>
        </w:rPr>
        <w:t>[J].</w:t>
      </w:r>
      <w:r>
        <w:rPr>
          <w:rFonts w:ascii="宋体" w:hAnsi="宋体" w:eastAsia="宋体" w:cs="宋体"/>
        </w:rPr>
        <w:t>高校教育研究，</w:t>
      </w:r>
      <w:r>
        <w:t>2008</w:t>
      </w:r>
      <w:r>
        <w:rPr>
          <w:rFonts w:ascii="宋体" w:hAnsi="宋体" w:eastAsia="宋体" w:cs="宋体"/>
        </w:rPr>
        <w:t>（</w:t>
      </w:r>
      <w:r>
        <w:t>7</w:t>
      </w:r>
      <w:r>
        <w:rPr>
          <w:rFonts w:ascii="宋体" w:hAnsi="宋体" w:eastAsia="宋体" w:cs="宋体"/>
        </w:rPr>
        <w:t>）：</w:t>
      </w:r>
      <w:r>
        <w:t>156.</w:t>
      </w:r>
    </w:p>
    <w:p>
      <w:pPr>
        <w:spacing w:line="400" w:lineRule="exact"/>
      </w:pPr>
      <w:r>
        <w:rPr>
          <w:lang w:val="pt-PT"/>
        </w:rPr>
        <w:t>[3]</w:t>
      </w:r>
      <w:r>
        <w:rPr>
          <w:rFonts w:ascii="宋体" w:hAnsi="宋体" w:eastAsia="宋体" w:cs="宋体"/>
        </w:rPr>
        <w:t>郭庆军，刘慧萍</w:t>
      </w:r>
      <w:r>
        <w:t>.</w:t>
      </w:r>
      <w:r>
        <w:rPr>
          <w:rFonts w:ascii="宋体" w:hAnsi="宋体" w:eastAsia="宋体" w:cs="宋体"/>
        </w:rPr>
        <w:t>工程项目管理课程教学改革与实践</w:t>
      </w:r>
      <w:r>
        <w:rPr>
          <w:lang w:val="pt-PT"/>
        </w:rPr>
        <w:t>[J].</w:t>
      </w:r>
      <w:r>
        <w:rPr>
          <w:rFonts w:ascii="宋体" w:hAnsi="宋体" w:eastAsia="宋体" w:cs="宋体"/>
        </w:rPr>
        <w:t>高等建筑教育，</w:t>
      </w:r>
      <w:r>
        <w:t>2007</w:t>
      </w:r>
      <w:r>
        <w:rPr>
          <w:rFonts w:ascii="宋体" w:hAnsi="宋体" w:eastAsia="宋体" w:cs="宋体"/>
        </w:rPr>
        <w:t>（</w:t>
      </w:r>
      <w:r>
        <w:t>3</w:t>
      </w:r>
      <w:r>
        <w:rPr>
          <w:rFonts w:ascii="宋体" w:hAnsi="宋体" w:eastAsia="宋体" w:cs="宋体"/>
        </w:rPr>
        <w:t>）：</w:t>
      </w:r>
      <w:r>
        <w:t>85-87.</w:t>
      </w:r>
    </w:p>
    <w:p>
      <w:pPr>
        <w:spacing w:line="400" w:lineRule="exact"/>
      </w:pPr>
      <w:r>
        <w:rPr>
          <w:lang w:val="pt-PT"/>
        </w:rPr>
        <w:t>[4]</w:t>
      </w:r>
      <w:r>
        <w:rPr>
          <w:rFonts w:ascii="宋体" w:hAnsi="宋体" w:eastAsia="宋体" w:cs="宋体"/>
        </w:rPr>
        <w:t>贾晶</w:t>
      </w:r>
      <w:r>
        <w:t>.“</w:t>
      </w:r>
      <w:r>
        <w:rPr>
          <w:rFonts w:ascii="宋体" w:hAnsi="宋体" w:eastAsia="宋体" w:cs="宋体"/>
        </w:rPr>
        <w:t>卓越工程师</w:t>
      </w:r>
      <w:r>
        <w:t>”</w:t>
      </w:r>
      <w:r>
        <w:rPr>
          <w:rFonts w:ascii="宋体" w:hAnsi="宋体" w:eastAsia="宋体" w:cs="宋体"/>
        </w:rPr>
        <w:t>培养模式下应用型本科工程管理专业课程体系改革</w:t>
      </w:r>
      <w:r>
        <w:rPr>
          <w:lang w:val="en-US"/>
        </w:rPr>
        <w:t>——</w:t>
      </w:r>
      <w:r>
        <w:rPr>
          <w:rFonts w:ascii="宋体" w:hAnsi="宋体" w:eastAsia="宋体" w:cs="宋体"/>
        </w:rPr>
        <w:t>以项目管理知识体系（</w:t>
      </w:r>
      <w:r>
        <w:t>PMBOK</w:t>
      </w:r>
      <w:r>
        <w:rPr>
          <w:rFonts w:ascii="宋体" w:hAnsi="宋体" w:eastAsia="宋体" w:cs="宋体"/>
        </w:rPr>
        <w:t>）为导向</w:t>
      </w:r>
      <w:r>
        <w:rPr>
          <w:lang w:val="pt-PT"/>
        </w:rPr>
        <w:t>[J].</w:t>
      </w:r>
      <w:r>
        <w:rPr>
          <w:rFonts w:ascii="宋体" w:hAnsi="宋体" w:eastAsia="宋体" w:cs="宋体"/>
        </w:rPr>
        <w:t>当代经济，</w:t>
      </w:r>
      <w:r>
        <w:t>2014</w:t>
      </w:r>
      <w:r>
        <w:rPr>
          <w:rFonts w:ascii="宋体" w:hAnsi="宋体" w:eastAsia="宋体" w:cs="宋体"/>
        </w:rPr>
        <w:t>（</w:t>
      </w:r>
      <w:r>
        <w:t>11</w:t>
      </w:r>
      <w:r>
        <w:rPr>
          <w:rFonts w:ascii="宋体" w:hAnsi="宋体" w:eastAsia="宋体" w:cs="宋体"/>
        </w:rPr>
        <w:t>）：</w:t>
      </w:r>
      <w:r>
        <w:t>97-99.</w:t>
      </w:r>
    </w:p>
    <w:p>
      <w:pPr>
        <w:spacing w:line="400" w:lineRule="exact"/>
      </w:pPr>
      <w:r>
        <w:rPr>
          <w:lang w:val="pt-PT"/>
        </w:rPr>
        <w:t>[5]</w:t>
      </w:r>
      <w:r>
        <w:rPr>
          <w:rFonts w:ascii="宋体" w:hAnsi="宋体" w:eastAsia="宋体" w:cs="宋体"/>
        </w:rPr>
        <w:t>费振国</w:t>
      </w:r>
      <w:r>
        <w:t>.</w:t>
      </w:r>
      <w:r>
        <w:rPr>
          <w:rFonts w:ascii="宋体" w:hAnsi="宋体" w:eastAsia="宋体" w:cs="宋体"/>
        </w:rPr>
        <w:t>我国项目管理本科专业课程体系构建研究</w:t>
      </w:r>
      <w:r>
        <w:rPr>
          <w:lang w:val="pt-PT"/>
        </w:rPr>
        <w:t>[J].</w:t>
      </w:r>
      <w:r>
        <w:rPr>
          <w:rFonts w:ascii="宋体" w:hAnsi="宋体" w:eastAsia="宋体" w:cs="宋体"/>
        </w:rPr>
        <w:t>管理观察</w:t>
      </w:r>
      <w:r>
        <w:t>.2014</w:t>
      </w:r>
      <w:r>
        <w:rPr>
          <w:rFonts w:ascii="宋体" w:hAnsi="宋体" w:eastAsia="宋体" w:cs="宋体"/>
        </w:rPr>
        <w:t>（</w:t>
      </w:r>
      <w:r>
        <w:t>3</w:t>
      </w:r>
      <w:r>
        <w:rPr>
          <w:rFonts w:ascii="宋体" w:hAnsi="宋体" w:eastAsia="宋体" w:cs="宋体"/>
        </w:rPr>
        <w:t>）：</w:t>
      </w:r>
      <w:r>
        <w:t>139.</w:t>
      </w:r>
    </w:p>
    <w:p>
      <w:pPr>
        <w:spacing w:line="400" w:lineRule="exact"/>
      </w:pPr>
      <w:r>
        <w:rPr>
          <w:lang w:val="pt-PT"/>
        </w:rPr>
        <w:t>[6]</w:t>
      </w:r>
      <w:r>
        <w:rPr>
          <w:rFonts w:ascii="宋体" w:hAnsi="宋体" w:eastAsia="宋体" w:cs="宋体"/>
        </w:rPr>
        <w:t>张琳</w:t>
      </w:r>
      <w:r>
        <w:t xml:space="preserve">: </w:t>
      </w:r>
      <w:r>
        <w:rPr>
          <w:rFonts w:ascii="宋体" w:hAnsi="宋体" w:eastAsia="宋体" w:cs="宋体"/>
        </w:rPr>
        <w:t>对构建《项目管理》课程体系的思考</w:t>
      </w:r>
      <w:r>
        <w:rPr>
          <w:lang w:val="pt-PT"/>
        </w:rPr>
        <w:t xml:space="preserve">[J]. </w:t>
      </w:r>
      <w:r>
        <w:rPr>
          <w:rFonts w:ascii="宋体" w:hAnsi="宋体" w:eastAsia="宋体" w:cs="宋体"/>
        </w:rPr>
        <w:t>技术经济与管理研究，</w:t>
      </w:r>
      <w:r>
        <w:t>2003</w:t>
      </w:r>
      <w:r>
        <w:rPr>
          <w:rFonts w:ascii="宋体" w:hAnsi="宋体" w:eastAsia="宋体" w:cs="宋体"/>
        </w:rPr>
        <w:t>（</w:t>
      </w:r>
      <w:r>
        <w:t>5</w:t>
      </w:r>
      <w:r>
        <w:rPr>
          <w:rFonts w:ascii="宋体" w:hAnsi="宋体" w:eastAsia="宋体" w:cs="宋体"/>
        </w:rPr>
        <w:t>）：</w:t>
      </w:r>
      <w:r>
        <w:t>92-93.</w:t>
      </w:r>
    </w:p>
    <w:p>
      <w:pPr>
        <w:spacing w:line="400" w:lineRule="exact"/>
        <w:sectPr>
          <w:headerReference r:id="rId16" w:type="default"/>
          <w:footerReference r:id="rId17" w:type="default"/>
          <w:type w:val="continuous"/>
          <w:pgSz w:w="11900" w:h="16840"/>
          <w:pgMar w:top="1440" w:right="1800" w:bottom="1440" w:left="1800" w:header="851" w:footer="992" w:gutter="0"/>
          <w:cols w:space="425" w:num="2"/>
        </w:sectPr>
      </w:pPr>
    </w:p>
    <w:p>
      <w:pPr>
        <w:spacing w:line="400" w:lineRule="exact"/>
      </w:pPr>
    </w:p>
    <w:p>
      <w:pPr>
        <w:spacing w:line="400" w:lineRule="exact"/>
      </w:pPr>
    </w:p>
    <w:p>
      <w:pPr>
        <w:spacing w:line="360" w:lineRule="exact"/>
        <w:jc w:val="center"/>
        <w:rPr>
          <w:b/>
          <w:bCs/>
        </w:rPr>
      </w:pPr>
      <w:r>
        <w:rPr>
          <w:b/>
          <w:bCs/>
          <w:lang w:val="en-US"/>
        </w:rPr>
        <w:t>An Empirical Study on the Construction of the Course</w:t>
      </w:r>
      <w:r>
        <w:rPr>
          <w:rFonts w:hint="eastAsia" w:eastAsiaTheme="minorEastAsia"/>
          <w:b/>
          <w:bCs/>
          <w:lang w:val="en-US" w:eastAsia="zh-CN"/>
        </w:rPr>
        <w:t xml:space="preserve"> </w:t>
      </w:r>
      <w:r>
        <w:rPr>
          <w:b/>
          <w:bCs/>
          <w:lang w:val="en-US"/>
        </w:rPr>
        <w:t>System of the Applied Undergraduate Project Management Personnel Training</w:t>
      </w:r>
    </w:p>
    <w:p>
      <w:pPr>
        <w:spacing w:line="360" w:lineRule="exact"/>
        <w:jc w:val="center"/>
        <w:rPr>
          <w:b/>
          <w:bCs/>
        </w:rPr>
      </w:pPr>
      <w:r>
        <w:rPr>
          <w:b/>
          <w:bCs/>
          <w:lang w:val="en-US"/>
        </w:rPr>
        <w:t xml:space="preserve">-- </w:t>
      </w:r>
      <w:r>
        <w:rPr>
          <w:rFonts w:hint="eastAsia" w:eastAsiaTheme="minorEastAsia"/>
          <w:b/>
          <w:bCs/>
          <w:lang w:val="en-US" w:eastAsia="zh-CN"/>
        </w:rPr>
        <w:t>A Case Study on</w:t>
      </w:r>
      <w:r>
        <w:rPr>
          <w:b/>
          <w:bCs/>
          <w:lang w:val="en-US"/>
        </w:rPr>
        <w:t xml:space="preserve"> Beijing City University</w:t>
      </w:r>
    </w:p>
    <w:p>
      <w:pPr>
        <w:spacing w:line="360" w:lineRule="exact"/>
        <w:jc w:val="center"/>
      </w:pPr>
      <w:r>
        <w:rPr>
          <w:lang w:val="en-US"/>
        </w:rPr>
        <w:t>CHANG</w:t>
      </w:r>
      <w:r>
        <w:rPr>
          <w:rFonts w:hint="eastAsia" w:eastAsiaTheme="minorEastAsia"/>
          <w:lang w:val="en-US" w:eastAsia="zh-CN"/>
        </w:rPr>
        <w:t xml:space="preserve"> </w:t>
      </w:r>
      <w:r>
        <w:rPr>
          <w:lang w:val="en-US"/>
        </w:rPr>
        <w:t>Jinming, HUO</w:t>
      </w:r>
      <w:r>
        <w:rPr>
          <w:rFonts w:hint="eastAsia" w:eastAsiaTheme="minorEastAsia"/>
          <w:lang w:val="en-US" w:eastAsia="zh-CN"/>
        </w:rPr>
        <w:t xml:space="preserve"> </w:t>
      </w:r>
      <w:r>
        <w:rPr>
          <w:lang w:val="en-US"/>
        </w:rPr>
        <w:t>Xiaorong</w:t>
      </w:r>
      <w:bookmarkStart w:id="0" w:name="_GoBack"/>
      <w:bookmarkEnd w:id="0"/>
    </w:p>
    <w:p>
      <w:pPr>
        <w:spacing w:line="360" w:lineRule="exact"/>
        <w:jc w:val="center"/>
      </w:pPr>
      <w:r>
        <w:t xml:space="preserve"> (Beijing City University, Beijing 100083)</w:t>
      </w:r>
    </w:p>
    <w:p>
      <w:pPr>
        <w:spacing w:line="360" w:lineRule="exact"/>
      </w:pPr>
    </w:p>
    <w:p>
      <w:pPr>
        <w:spacing w:line="360" w:lineRule="exact"/>
      </w:pPr>
      <w:r>
        <w:rPr>
          <w:b/>
          <w:bCs/>
          <w:lang w:val="en-US"/>
        </w:rPr>
        <w:t xml:space="preserve">Abstract: </w:t>
      </w:r>
      <w:r>
        <w:rPr>
          <w:lang w:val="en-US"/>
        </w:rPr>
        <w:t xml:space="preserve">The course system construction is the close link of the social demand and the higher education teaching work. According to the training objectives of higher education, </w:t>
      </w:r>
      <w:r>
        <w:rPr>
          <w:rFonts w:hint="eastAsia" w:eastAsiaTheme="minorEastAsia"/>
          <w:lang w:val="en-US" w:eastAsia="zh-CN"/>
        </w:rPr>
        <w:t xml:space="preserve">majors should be </w:t>
      </w:r>
      <w:r>
        <w:rPr>
          <w:rFonts w:eastAsiaTheme="minorEastAsia"/>
          <w:lang w:val="en-US" w:eastAsia="zh-CN"/>
        </w:rPr>
        <w:t>established</w:t>
      </w:r>
      <w:r>
        <w:rPr>
          <w:rFonts w:hint="eastAsia" w:eastAsiaTheme="minorEastAsia"/>
          <w:lang w:val="en-US" w:eastAsia="zh-CN"/>
        </w:rPr>
        <w:t xml:space="preserve"> and adjusted based on</w:t>
      </w:r>
      <w:r>
        <w:rPr>
          <w:lang w:val="en-US"/>
        </w:rPr>
        <w:t xml:space="preserve"> the requirement of technical field and professional post. This article</w:t>
      </w:r>
      <w:r>
        <w:rPr>
          <w:rFonts w:hint="eastAsia" w:eastAsiaTheme="minorEastAsia"/>
          <w:lang w:val="en-US" w:eastAsia="zh-CN"/>
        </w:rPr>
        <w:t xml:space="preserve"> first introduces the</w:t>
      </w:r>
      <w:r>
        <w:rPr>
          <w:rFonts w:ascii="Times New Roman" w:hAnsi="Times New Roman" w:cs="Times New Roman" w:eastAsiaTheme="minorEastAsia"/>
          <w:lang w:val="en-US" w:eastAsia="zh-CN"/>
        </w:rPr>
        <w:t xml:space="preserve"> </w:t>
      </w:r>
      <w:r>
        <w:rPr>
          <w:rFonts w:ascii="Times New Roman" w:hAnsi="Times New Roman" w:cs="Times New Roman"/>
        </w:rPr>
        <w:t>status quo</w:t>
      </w:r>
      <w:r>
        <w:rPr>
          <w:rFonts w:ascii="Times New Roman" w:hAnsi="Times New Roman" w:cs="Times New Roman" w:eastAsiaTheme="minorEastAsia"/>
          <w:lang w:eastAsia="zh-CN"/>
        </w:rPr>
        <w:t xml:space="preserve"> of </w:t>
      </w:r>
      <w:r>
        <w:rPr>
          <w:lang w:val="en-US"/>
        </w:rPr>
        <w:t>undergraduate</w:t>
      </w:r>
      <w:r>
        <w:rPr>
          <w:rFonts w:hint="eastAsia" w:eastAsiaTheme="minorEastAsia"/>
          <w:lang w:val="en-US" w:eastAsia="zh-CN"/>
        </w:rPr>
        <w:t xml:space="preserve"> </w:t>
      </w:r>
      <w:r>
        <w:rPr>
          <w:lang w:val="en-US"/>
        </w:rPr>
        <w:t xml:space="preserve">project management </w:t>
      </w:r>
      <w:r>
        <w:rPr>
          <w:rFonts w:hint="eastAsia" w:eastAsiaTheme="minorEastAsia"/>
          <w:lang w:val="en-US" w:eastAsia="zh-CN"/>
        </w:rPr>
        <w:t xml:space="preserve">major in </w:t>
      </w:r>
      <w:r>
        <w:rPr>
          <w:lang w:val="en-US"/>
        </w:rPr>
        <w:t xml:space="preserve">China and </w:t>
      </w:r>
      <w:r>
        <w:rPr>
          <w:rFonts w:hint="eastAsia" w:eastAsiaTheme="minorEastAsia"/>
          <w:lang w:val="en-US" w:eastAsia="zh-CN"/>
        </w:rPr>
        <w:t xml:space="preserve">the </w:t>
      </w:r>
      <w:r>
        <w:rPr>
          <w:lang w:val="en-US"/>
        </w:rPr>
        <w:t>differences</w:t>
      </w:r>
      <w:r>
        <w:rPr>
          <w:rFonts w:hint="eastAsia" w:eastAsiaTheme="minorEastAsia"/>
          <w:lang w:val="en-US" w:eastAsia="zh-CN"/>
        </w:rPr>
        <w:t xml:space="preserve"> in u</w:t>
      </w:r>
      <w:r>
        <w:rPr>
          <w:lang w:val="en-US"/>
        </w:rPr>
        <w:t>niversity</w:t>
      </w:r>
      <w:r>
        <w:rPr>
          <w:rFonts w:hint="eastAsia" w:eastAsiaTheme="minorEastAsia"/>
          <w:lang w:val="en-US" w:eastAsia="zh-CN"/>
        </w:rPr>
        <w:t xml:space="preserve"> </w:t>
      </w:r>
      <w:r>
        <w:rPr>
          <w:lang w:val="en-US"/>
        </w:rPr>
        <w:t>courses system</w:t>
      </w:r>
      <w:r>
        <w:rPr>
          <w:rFonts w:hint="eastAsia" w:eastAsiaTheme="minorEastAsia"/>
          <w:lang w:val="en-US" w:eastAsia="zh-CN"/>
        </w:rPr>
        <w:t>. Then</w:t>
      </w:r>
      <w:r>
        <w:rPr>
          <w:lang w:val="en-US"/>
        </w:rPr>
        <w:t xml:space="preserve"> </w:t>
      </w:r>
      <w:r>
        <w:rPr>
          <w:rFonts w:hint="eastAsia" w:eastAsiaTheme="minorEastAsia"/>
          <w:lang w:val="en-US" w:eastAsia="zh-CN"/>
        </w:rPr>
        <w:t>associated</w:t>
      </w:r>
      <w:r>
        <w:rPr>
          <w:lang w:val="en-US"/>
        </w:rPr>
        <w:t xml:space="preserve"> with </w:t>
      </w:r>
      <w:r>
        <w:rPr>
          <w:rFonts w:hint="eastAsia" w:eastAsiaTheme="minorEastAsia"/>
          <w:lang w:val="en-US" w:eastAsia="zh-CN"/>
        </w:rPr>
        <w:t xml:space="preserve">the </w:t>
      </w:r>
      <w:r>
        <w:rPr>
          <w:lang w:val="en-US"/>
        </w:rPr>
        <w:t xml:space="preserve">setup and adjustment </w:t>
      </w:r>
      <w:r>
        <w:rPr>
          <w:rFonts w:hint="eastAsia" w:eastAsiaTheme="minorEastAsia"/>
          <w:lang w:val="en-US" w:eastAsia="zh-CN"/>
        </w:rPr>
        <w:t>of E</w:t>
      </w:r>
      <w:r>
        <w:rPr>
          <w:lang w:val="en-US"/>
        </w:rPr>
        <w:t xml:space="preserve">conomics and </w:t>
      </w:r>
      <w:r>
        <w:rPr>
          <w:rFonts w:hint="eastAsia" w:eastAsiaTheme="minorEastAsia"/>
          <w:lang w:val="en-US" w:eastAsia="zh-CN"/>
        </w:rPr>
        <w:t>M</w:t>
      </w:r>
      <w:r>
        <w:rPr>
          <w:lang w:val="en-US"/>
        </w:rPr>
        <w:t xml:space="preserve">anagement </w:t>
      </w:r>
      <w:r>
        <w:rPr>
          <w:rFonts w:hint="eastAsia" w:eastAsiaTheme="minorEastAsia"/>
          <w:lang w:val="en-US" w:eastAsia="zh-CN"/>
        </w:rPr>
        <w:t>B</w:t>
      </w:r>
      <w:r>
        <w:rPr>
          <w:lang w:val="en-US"/>
        </w:rPr>
        <w:t xml:space="preserve">usiness </w:t>
      </w:r>
      <w:r>
        <w:rPr>
          <w:rFonts w:hint="eastAsia" w:eastAsiaTheme="minorEastAsia"/>
          <w:lang w:val="en-US" w:eastAsia="zh-CN"/>
        </w:rPr>
        <w:t>A</w:t>
      </w:r>
      <w:r>
        <w:rPr>
          <w:lang w:val="en-US"/>
        </w:rPr>
        <w:t>dministration</w:t>
      </w:r>
      <w:r>
        <w:rPr>
          <w:rFonts w:hint="eastAsia" w:eastAsiaTheme="minorEastAsia"/>
          <w:lang w:val="en-US" w:eastAsia="zh-CN"/>
        </w:rPr>
        <w:t xml:space="preserve"> Major (P</w:t>
      </w:r>
      <w:r>
        <w:rPr>
          <w:lang w:val="en-US"/>
        </w:rPr>
        <w:t>roject Management</w:t>
      </w:r>
      <w:r>
        <w:rPr>
          <w:rFonts w:eastAsiaTheme="minorEastAsia"/>
          <w:lang w:val="en-US" w:eastAsia="zh-CN"/>
        </w:rPr>
        <w:t xml:space="preserve"> Sp</w:t>
      </w:r>
      <w:r>
        <w:rPr>
          <w:rFonts w:hint="eastAsia" w:eastAsiaTheme="minorEastAsia"/>
          <w:lang w:val="en-US" w:eastAsia="zh-CN"/>
        </w:rPr>
        <w:t xml:space="preserve">eciality) </w:t>
      </w:r>
      <w:r>
        <w:rPr>
          <w:lang w:val="en-US"/>
        </w:rPr>
        <w:t xml:space="preserve">of Beijing City University, </w:t>
      </w:r>
      <w:r>
        <w:rPr>
          <w:rFonts w:hint="eastAsia" w:eastAsiaTheme="minorEastAsia"/>
          <w:lang w:val="en-US" w:eastAsia="zh-CN"/>
        </w:rPr>
        <w:t xml:space="preserve">the article elaborates on </w:t>
      </w:r>
      <w:r>
        <w:rPr>
          <w:lang w:val="en-US"/>
        </w:rPr>
        <w:t xml:space="preserve">how </w:t>
      </w:r>
      <w:r>
        <w:rPr>
          <w:rFonts w:hint="eastAsia" w:eastAsiaTheme="minorEastAsia"/>
          <w:lang w:val="en-US" w:eastAsia="zh-CN"/>
        </w:rPr>
        <w:t xml:space="preserve">the </w:t>
      </w:r>
      <w:r>
        <w:rPr>
          <w:rFonts w:eastAsiaTheme="minorEastAsia"/>
          <w:lang w:val="en-US" w:eastAsia="zh-CN"/>
        </w:rPr>
        <w:t>university</w:t>
      </w:r>
      <w:r>
        <w:rPr>
          <w:rFonts w:hint="eastAsia" w:eastAsiaTheme="minorEastAsia"/>
          <w:lang w:val="en-US" w:eastAsia="zh-CN"/>
        </w:rPr>
        <w:t xml:space="preserve"> defines the speciality features and establish a </w:t>
      </w:r>
      <w:r>
        <w:t>“</w:t>
      </w:r>
      <w:r>
        <w:rPr>
          <w:lang w:val="en-US"/>
        </w:rPr>
        <w:t>four platform</w:t>
      </w:r>
      <w:r>
        <w:rPr>
          <w:rFonts w:hint="eastAsia" w:eastAsiaTheme="minorEastAsia"/>
          <w:lang w:val="en-US" w:eastAsia="zh-CN"/>
        </w:rPr>
        <w:t>s</w:t>
      </w:r>
      <w:r>
        <w:rPr>
          <w:lang w:val="en-US"/>
        </w:rPr>
        <w:t xml:space="preserve"> + four module</w:t>
      </w:r>
      <w:r>
        <w:rPr>
          <w:rFonts w:hint="eastAsia" w:eastAsiaTheme="minorEastAsia"/>
          <w:lang w:val="en-US" w:eastAsia="zh-CN"/>
        </w:rPr>
        <w:t>s</w:t>
      </w:r>
      <w:r>
        <w:t>”</w:t>
      </w:r>
      <w:r>
        <w:rPr>
          <w:rFonts w:hint="eastAsia" w:eastAsiaTheme="minorEastAsia"/>
          <w:lang w:eastAsia="zh-CN"/>
        </w:rPr>
        <w:t xml:space="preserve"> </w:t>
      </w:r>
      <w:r>
        <w:rPr>
          <w:lang w:val="en-US"/>
        </w:rPr>
        <w:t>course system</w:t>
      </w:r>
      <w:r>
        <w:t xml:space="preserve"> </w:t>
      </w:r>
      <w:r>
        <w:rPr>
          <w:rFonts w:hint="eastAsia" w:eastAsiaTheme="minorEastAsia"/>
          <w:lang w:val="en-US" w:eastAsia="zh-CN"/>
        </w:rPr>
        <w:t>for</w:t>
      </w:r>
      <w:r>
        <w:rPr>
          <w:lang w:val="en-US"/>
        </w:rPr>
        <w:t xml:space="preserve"> project management </w:t>
      </w:r>
      <w:r>
        <w:rPr>
          <w:rFonts w:hint="eastAsia" w:eastAsiaTheme="minorEastAsia"/>
          <w:lang w:val="en-US" w:eastAsia="zh-CN"/>
        </w:rPr>
        <w:t xml:space="preserve">speciality </w:t>
      </w:r>
      <w:r>
        <w:rPr>
          <w:lang w:val="en-US"/>
        </w:rPr>
        <w:t>according to market demand and its own resources.</w:t>
      </w:r>
    </w:p>
    <w:p>
      <w:pPr>
        <w:spacing w:line="360" w:lineRule="exact"/>
        <w:rPr>
          <w:rFonts w:hint="eastAsia" w:eastAsiaTheme="minorEastAsia"/>
          <w:lang w:val="en-US" w:eastAsia="zh-CN"/>
        </w:rPr>
      </w:pPr>
      <w:r>
        <w:rPr>
          <w:b/>
          <w:bCs/>
          <w:lang w:val="en-US"/>
        </w:rPr>
        <w:t xml:space="preserve">Keywords: </w:t>
      </w:r>
      <w:r>
        <w:rPr>
          <w:lang w:val="en-US"/>
        </w:rPr>
        <w:t>applied personnel training; project management; course system construction</w:t>
      </w:r>
    </w:p>
    <w:p>
      <w:pPr>
        <w:spacing w:line="360" w:lineRule="exact"/>
        <w:rPr>
          <w:rFonts w:hint="eastAsia" w:eastAsiaTheme="minorEastAsia"/>
          <w:lang w:val="en-US" w:eastAsia="zh-CN"/>
        </w:rPr>
      </w:pPr>
    </w:p>
    <w:p>
      <w:pPr>
        <w:spacing w:line="360" w:lineRule="exact"/>
        <w:rPr>
          <w:rFonts w:hint="eastAsia" w:eastAsiaTheme="minorEastAsia"/>
          <w:lang w:val="en-US" w:eastAsia="zh-CN"/>
        </w:rPr>
      </w:pPr>
      <w:r>
        <w:rPr>
          <w:rFonts w:hint="eastAsia" w:eastAsiaTheme="minorEastAsia"/>
          <w:lang w:val="en-US" w:eastAsia="zh-CN"/>
        </w:rPr>
        <w:t>责任编辑：高艳玲</w:t>
      </w:r>
    </w:p>
    <w:sectPr>
      <w:headerReference r:id="rId18" w:type="default"/>
      <w:footerReference r:id="rId19" w:type="default"/>
      <w:type w:val="continuous"/>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Unicode MS">
    <w:panose1 w:val="020B0604020202020204"/>
    <w:charset w:val="80"/>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黑体">
    <w:panose1 w:val="02010600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Arial">
    <w:panose1 w:val="020B0604020202020204"/>
    <w:charset w:val="00"/>
    <w:family w:val="swiss"/>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5"/>
        <w:numPr>
          <w:ilvl w:val="0"/>
          <w:numId w:val="1"/>
        </w:numPr>
        <w:rPr>
          <w:rFonts w:hint="default"/>
          <w:lang w:val="zh-TW" w:eastAsia="zh-TW"/>
        </w:rPr>
      </w:pPr>
      <w:r>
        <w:rPr>
          <w:rFonts w:ascii="宋体" w:hAnsi="宋体" w:eastAsia="宋体" w:cs="宋体"/>
          <w:b/>
          <w:bCs/>
          <w:lang w:val="zh-TW" w:eastAsia="zh-TW"/>
        </w:rPr>
        <w:t>收稿日期</w:t>
      </w:r>
      <w:r>
        <w:rPr>
          <w:rFonts w:ascii="宋体" w:hAnsi="宋体" w:eastAsia="宋体" w:cs="宋体"/>
          <w:lang w:val="zh-TW" w:eastAsia="zh-TW"/>
        </w:rPr>
        <w:t>：</w:t>
      </w:r>
      <w:r>
        <w:rPr>
          <w:rFonts w:ascii="Times New Roman" w:hAnsi="Times New Roman"/>
        </w:rPr>
        <w:t>2015</w:t>
      </w:r>
      <w:r>
        <w:rPr>
          <w:rFonts w:ascii="宋体" w:hAnsi="宋体" w:eastAsia="宋体" w:cs="宋体"/>
          <w:lang w:val="zh-TW" w:eastAsia="zh-TW"/>
        </w:rPr>
        <w:t>年</w:t>
      </w:r>
      <w:r>
        <w:rPr>
          <w:rFonts w:ascii="Times New Roman" w:hAnsi="Times New Roman"/>
        </w:rPr>
        <w:t>12</w:t>
      </w:r>
      <w:r>
        <w:rPr>
          <w:rFonts w:ascii="宋体" w:hAnsi="宋体" w:eastAsia="宋体" w:cs="宋体"/>
          <w:lang w:val="zh-TW" w:eastAsia="zh-TW"/>
        </w:rPr>
        <w:t>月</w:t>
      </w:r>
      <w:r>
        <w:rPr>
          <w:rFonts w:ascii="Times New Roman" w:hAnsi="Times New Roman"/>
        </w:rPr>
        <w:t>21</w:t>
      </w:r>
      <w:r>
        <w:rPr>
          <w:rFonts w:ascii="宋体" w:hAnsi="宋体" w:eastAsia="宋体" w:cs="宋体"/>
          <w:lang w:val="zh-TW" w:eastAsia="zh-TW"/>
        </w:rPr>
        <w:t>日</w:t>
      </w:r>
    </w:p>
    <w:p>
      <w:pPr>
        <w:pStyle w:val="5"/>
        <w:numPr>
          <w:ilvl w:val="0"/>
          <w:numId w:val="1"/>
        </w:numPr>
        <w:rPr>
          <w:rFonts w:hint="default"/>
          <w:lang w:val="zh-TW" w:eastAsia="zh-TW"/>
        </w:rPr>
      </w:pPr>
      <w:r>
        <w:rPr>
          <w:rFonts w:ascii="宋体" w:hAnsi="宋体" w:eastAsia="宋体" w:cs="宋体"/>
          <w:b/>
          <w:bCs/>
          <w:lang w:val="zh-TW" w:eastAsia="zh-TW"/>
        </w:rPr>
        <w:t>作者简介</w:t>
      </w:r>
      <w:r>
        <w:rPr>
          <w:rFonts w:ascii="宋体" w:hAnsi="宋体" w:eastAsia="宋体" w:cs="宋体"/>
          <w:lang w:val="zh-TW" w:eastAsia="zh-TW"/>
        </w:rPr>
        <w:t>：常金明（</w:t>
      </w:r>
      <w:r>
        <w:rPr>
          <w:rFonts w:ascii="Times New Roman" w:hAnsi="Times New Roman"/>
        </w:rPr>
        <w:t>1982</w:t>
      </w:r>
      <w:r>
        <w:rPr>
          <w:rFonts w:ascii="黑体" w:hAnsi="黑体" w:eastAsia="黑体" w:cs="黑体"/>
          <w:sz w:val="32"/>
          <w:szCs w:val="32"/>
          <w:vertAlign w:val="superscript"/>
        </w:rPr>
        <w:t xml:space="preserve"> </w:t>
      </w:r>
      <w:r>
        <w:rPr>
          <w:rFonts w:hint="default" w:ascii="Times New Roman" w:hAnsi="Times New Roman"/>
        </w:rPr>
        <w:t>—</w:t>
      </w:r>
      <w:r>
        <w:rPr>
          <w:rFonts w:ascii="宋体" w:hAnsi="宋体" w:eastAsia="宋体" w:cs="宋体"/>
          <w:lang w:val="zh-TW" w:eastAsia="zh-TW"/>
        </w:rPr>
        <w:t>），女，山东聊城人，讲师，博士，研究方向：项目管理。</w:t>
      </w:r>
    </w:p>
    <w:p>
      <w:pPr>
        <w:pStyle w:val="5"/>
        <w:ind w:left="1260"/>
        <w:rPr>
          <w:rFonts w:hint="default"/>
        </w:rPr>
      </w:pPr>
      <w:r>
        <w:rPr>
          <w:rFonts w:ascii="宋体" w:hAnsi="宋体" w:eastAsia="宋体" w:cs="宋体"/>
          <w:lang w:val="zh-TW" w:eastAsia="zh-TW"/>
        </w:rPr>
        <w:t>霍晓荣（</w:t>
      </w:r>
      <w:r>
        <w:rPr>
          <w:rFonts w:ascii="Times New Roman" w:hAnsi="Times New Roman"/>
        </w:rPr>
        <w:t xml:space="preserve">1975 </w:t>
      </w:r>
      <w:r>
        <w:rPr>
          <w:rFonts w:hint="default" w:ascii="Times New Roman" w:hAnsi="Times New Roman"/>
        </w:rPr>
        <w:t>—</w:t>
      </w:r>
      <w:r>
        <w:rPr>
          <w:rFonts w:ascii="宋体" w:hAnsi="宋体" w:eastAsia="宋体" w:cs="宋体"/>
          <w:lang w:val="zh-TW" w:eastAsia="zh-TW"/>
        </w:rPr>
        <w:t>），女，河北邢台人，讲师，博士，研究方向：经济管理。</w:t>
      </w:r>
    </w:p>
    <w:p>
      <w:pPr>
        <w:pStyle w:val="5"/>
        <w:ind w:firstLine="360"/>
        <w:rPr>
          <w:rFonts w:hint="default"/>
        </w:rPr>
      </w:pPr>
      <w:r>
        <w:rPr>
          <w:rFonts w:ascii="宋体" w:hAnsi="宋体" w:eastAsia="宋体" w:cs="宋体"/>
          <w:b/>
          <w:bCs/>
          <w:lang w:val="zh-TW" w:eastAsia="zh-TW"/>
        </w:rPr>
        <w:t>基金项目</w:t>
      </w:r>
      <w:r>
        <w:rPr>
          <w:rFonts w:ascii="宋体" w:hAnsi="宋体" w:eastAsia="宋体" w:cs="宋体"/>
          <w:lang w:val="zh-TW" w:eastAsia="zh-TW"/>
        </w:rPr>
        <w:t>：北京城市学院市级校外基地与实验教学示范中心建设项目，来源北京市教委</w:t>
      </w:r>
      <w:r>
        <w:rPr>
          <w:rFonts w:hint="default" w:ascii="Times New Roman" w:hAnsi="Times New Roman"/>
        </w:rPr>
        <w:t>——</w:t>
      </w:r>
      <w:r>
        <w:rPr>
          <w:rFonts w:ascii="宋体" w:hAnsi="宋体" w:eastAsia="宋体" w:cs="宋体"/>
          <w:lang w:val="zh-TW" w:eastAsia="zh-TW"/>
        </w:rPr>
        <w:t>服务区域</w:t>
      </w:r>
    </w:p>
    <w:p>
      <w:pPr>
        <w:pStyle w:val="5"/>
        <w:ind w:firstLine="360"/>
        <w:rPr>
          <w:rFonts w:hint="default"/>
        </w:rPr>
      </w:pPr>
      <w:r>
        <w:tab/>
      </w:r>
      <w:r>
        <w:tab/>
      </w:r>
      <w:r>
        <w:tab/>
      </w:r>
      <w:r>
        <w:rPr>
          <w:rFonts w:ascii="宋体" w:hAnsi="宋体" w:eastAsia="宋体" w:cs="宋体"/>
          <w:lang w:val="zh-TW" w:eastAsia="zh-TW"/>
        </w:rPr>
        <w:t>经济社会发展。</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A1790"/>
    <w:multiLevelType w:val="multilevel"/>
    <w:tmpl w:val="059A1790"/>
    <w:lvl w:ilvl="0" w:tentative="0">
      <w:start w:val="1"/>
      <w:numFmt w:val="bullet"/>
      <w:lvlText w:val=" "/>
      <w:lvlJc w:val="left"/>
      <w:pPr>
        <w:ind w:left="36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entative="0">
      <w:start w:val="1"/>
      <w:numFmt w:val="bullet"/>
      <w:lvlText w:val="■"/>
      <w:lvlJc w:val="left"/>
      <w:pPr>
        <w:ind w:left="840" w:hanging="42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bullet"/>
      <w:lvlText w:val="◆"/>
      <w:lvlJc w:val="left"/>
      <w:pPr>
        <w:ind w:left="1260" w:hanging="42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bullet"/>
      <w:lvlText w:val="●"/>
      <w:lvlJc w:val="left"/>
      <w:pPr>
        <w:ind w:left="1680" w:hanging="42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bullet"/>
      <w:lvlText w:val="■"/>
      <w:lvlJc w:val="left"/>
      <w:pPr>
        <w:ind w:left="2100" w:hanging="42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bullet"/>
      <w:lvlText w:val="◆"/>
      <w:lvlJc w:val="left"/>
      <w:pPr>
        <w:ind w:left="2520" w:hanging="42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bullet"/>
      <w:lvlText w:val="●"/>
      <w:lvlJc w:val="left"/>
      <w:pPr>
        <w:ind w:left="2940" w:hanging="42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bullet"/>
      <w:lvlText w:val="■"/>
      <w:lvlJc w:val="left"/>
      <w:pPr>
        <w:ind w:left="3360" w:hanging="42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bullet"/>
      <w:lvlText w:val="◆"/>
      <w:lvlJc w:val="left"/>
      <w:pPr>
        <w:ind w:left="3780" w:hanging="42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387C48"/>
    <w:rsid w:val="00056944"/>
    <w:rsid w:val="002E25FF"/>
    <w:rsid w:val="00387C48"/>
    <w:rsid w:val="00392C09"/>
    <w:rsid w:val="003F538D"/>
    <w:rsid w:val="0059632F"/>
    <w:rsid w:val="00663FF6"/>
    <w:rsid w:val="00790785"/>
    <w:rsid w:val="008564B6"/>
    <w:rsid w:val="009A23A5"/>
    <w:rsid w:val="009F646C"/>
    <w:rsid w:val="00B375CA"/>
    <w:rsid w:val="00E436DC"/>
    <w:rsid w:val="00F5549F"/>
    <w:rsid w:val="13557004"/>
    <w:rsid w:val="3E7E0267"/>
    <w:rsid w:val="42543066"/>
    <w:rsid w:val="4D2C549F"/>
  </w:rsids>
  <w:themeFontLang w:val="en-C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Arial Unicode MS"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Calibri" w:hAnsi="Calibri" w:eastAsia="Calibri" w:cs="Calibri"/>
      <w:color w:val="000000"/>
      <w:kern w:val="2"/>
      <w:sz w:val="21"/>
      <w:szCs w:val="21"/>
      <w:u w:color="000000"/>
      <w:lang w:val="zh-TW" w:eastAsia="zh-TW" w:bidi="ar-SA"/>
    </w:rPr>
  </w:style>
  <w:style w:type="character" w:default="1" w:styleId="6">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7"/>
    <w:unhideWhenUsed/>
    <w:uiPriority w:val="99"/>
    <w:rPr>
      <w:sz w:val="18"/>
      <w:szCs w:val="18"/>
    </w:rPr>
  </w:style>
  <w:style w:type="paragraph" w:styleId="3">
    <w:name w:val="footer"/>
    <w:basedOn w:val="1"/>
    <w:link w:val="16"/>
    <w:unhideWhenUsed/>
    <w:uiPriority w:val="99"/>
    <w:pPr>
      <w:tabs>
        <w:tab w:val="center" w:pos="4153"/>
        <w:tab w:val="right" w:pos="8306"/>
      </w:tabs>
      <w:snapToGrid w:val="0"/>
      <w:jc w:val="left"/>
    </w:pPr>
    <w:rPr>
      <w:sz w:val="18"/>
      <w:szCs w:val="18"/>
    </w:rPr>
  </w:style>
  <w:style w:type="paragraph" w:styleId="4">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5">
    <w:name w:val="footnote text"/>
    <w:uiPriority w:val="0"/>
    <w:pPr>
      <w:widowControl w:val="0"/>
      <w:pBdr>
        <w:top w:val="none" w:color="auto" w:sz="0" w:space="0"/>
        <w:left w:val="none" w:color="auto" w:sz="0" w:space="0"/>
        <w:bottom w:val="none" w:color="auto" w:sz="0" w:space="0"/>
        <w:right w:val="none" w:color="auto" w:sz="0" w:space="0"/>
        <w:between w:val="none" w:color="auto" w:sz="0" w:space="0"/>
      </w:pBdr>
      <w:spacing w:line="360" w:lineRule="auto"/>
    </w:pPr>
    <w:rPr>
      <w:rFonts w:hint="eastAsia" w:ascii="Arial Unicode MS" w:hAnsi="Arial Unicode MS" w:eastAsia="Arial Unicode MS" w:cs="Arial Unicode MS"/>
      <w:color w:val="000000"/>
      <w:kern w:val="2"/>
      <w:sz w:val="18"/>
      <w:szCs w:val="18"/>
      <w:u w:color="000000"/>
      <w:lang w:val="en-US" w:eastAsia="zh-CN" w:bidi="ar-SA"/>
    </w:rPr>
  </w:style>
  <w:style w:type="character" w:styleId="7">
    <w:name w:val="Hyperlink"/>
    <w:uiPriority w:val="0"/>
    <w:rPr>
      <w:u w:val="single"/>
    </w:rPr>
  </w:style>
  <w:style w:type="character" w:styleId="8">
    <w:name w:val="footnote reference"/>
    <w:uiPriority w:val="0"/>
    <w:rPr>
      <w:vertAlign w:val="superscript"/>
      <w:lang w:val="pt-PT"/>
    </w:rPr>
  </w:style>
  <w:style w:type="table" w:customStyle="1" w:styleId="10">
    <w:name w:val="Table Normal1"/>
    <w:uiPriority w:val="0"/>
    <w:tblPr>
      <w:tblLayout w:type="fixed"/>
      <w:tblCellMar>
        <w:top w:w="0" w:type="dxa"/>
        <w:left w:w="0" w:type="dxa"/>
        <w:bottom w:w="0" w:type="dxa"/>
        <w:right w:w="0" w:type="dxa"/>
      </w:tblCellMar>
    </w:tblPr>
  </w:style>
  <w:style w:type="paragraph" w:customStyle="1" w:styleId="11">
    <w:name w:val="页眉与页脚"/>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w:hAnsi="Helvetica" w:eastAsia="Arial Unicode MS" w:cs="Arial Unicode MS"/>
      <w:color w:val="000000"/>
      <w:sz w:val="24"/>
      <w:szCs w:val="24"/>
      <w:lang w:val="en-US" w:eastAsia="zh-CN" w:bidi="ar-SA"/>
    </w:rPr>
  </w:style>
  <w:style w:type="paragraph" w:customStyle="1" w:styleId="12">
    <w:name w:val="小标题"/>
    <w:uiPriority w:val="0"/>
    <w:pPr>
      <w:pBdr>
        <w:top w:val="none" w:color="auto" w:sz="0" w:space="0"/>
        <w:left w:val="none" w:color="auto" w:sz="0" w:space="0"/>
        <w:bottom w:val="none" w:color="auto" w:sz="0" w:space="0"/>
        <w:right w:val="none" w:color="auto" w:sz="0" w:space="0"/>
        <w:between w:val="none" w:color="auto" w:sz="0" w:space="0"/>
      </w:pBdr>
      <w:spacing w:before="100" w:after="100" w:line="360" w:lineRule="auto"/>
      <w:jc w:val="both"/>
      <w:outlineLvl w:val="0"/>
    </w:pPr>
    <w:rPr>
      <w:rFonts w:ascii="宋体" w:hAnsi="宋体" w:eastAsia="宋体" w:cs="宋体"/>
      <w:b/>
      <w:bCs/>
      <w:color w:val="000000"/>
      <w:kern w:val="36"/>
      <w:sz w:val="28"/>
      <w:szCs w:val="28"/>
      <w:u w:color="000000"/>
      <w:lang w:val="zh-TW" w:eastAsia="zh-TW" w:bidi="ar-SA"/>
    </w:rPr>
  </w:style>
  <w:style w:type="paragraph" w:customStyle="1" w:styleId="13">
    <w:name w:val="小标题 2"/>
    <w:next w:val="1"/>
    <w:uiPriority w:val="0"/>
    <w:pPr>
      <w:keepNext/>
      <w:keepLines/>
      <w:widowControl w:val="0"/>
      <w:pBdr>
        <w:top w:val="none" w:color="auto" w:sz="0" w:space="0"/>
        <w:left w:val="none" w:color="auto" w:sz="0" w:space="0"/>
        <w:bottom w:val="none" w:color="auto" w:sz="0" w:space="0"/>
        <w:right w:val="none" w:color="auto" w:sz="0" w:space="0"/>
        <w:between w:val="none" w:color="auto" w:sz="0" w:space="0"/>
      </w:pBdr>
      <w:spacing w:before="260" w:after="260" w:line="416" w:lineRule="auto"/>
      <w:jc w:val="both"/>
      <w:outlineLvl w:val="1"/>
    </w:pPr>
    <w:rPr>
      <w:rFonts w:ascii="Cambria" w:hAnsi="Cambria" w:eastAsia="Cambria" w:cs="Cambria"/>
      <w:b/>
      <w:bCs/>
      <w:color w:val="000000"/>
      <w:kern w:val="2"/>
      <w:sz w:val="32"/>
      <w:szCs w:val="32"/>
      <w:u w:color="000000"/>
      <w:lang w:val="en-US" w:eastAsia="zh-CN" w:bidi="ar-SA"/>
    </w:rPr>
  </w:style>
  <w:style w:type="paragraph" w:customStyle="1" w:styleId="14">
    <w:name w:val="小标题 3"/>
    <w:next w:val="1"/>
    <w:uiPriority w:val="0"/>
    <w:pPr>
      <w:keepNext/>
      <w:keepLines/>
      <w:widowControl w:val="0"/>
      <w:pBdr>
        <w:top w:val="none" w:color="auto" w:sz="0" w:space="0"/>
        <w:left w:val="none" w:color="auto" w:sz="0" w:space="0"/>
        <w:bottom w:val="none" w:color="auto" w:sz="0" w:space="0"/>
        <w:right w:val="none" w:color="auto" w:sz="0" w:space="0"/>
        <w:between w:val="none" w:color="auto" w:sz="0" w:space="0"/>
      </w:pBdr>
      <w:spacing w:before="260" w:after="260" w:line="416" w:lineRule="auto"/>
      <w:outlineLvl w:val="2"/>
    </w:pPr>
    <w:rPr>
      <w:rFonts w:hint="eastAsia" w:ascii="Arial Unicode MS" w:hAnsi="Arial Unicode MS" w:eastAsia="Arial Unicode MS" w:cs="Arial Unicode MS"/>
      <w:color w:val="000000"/>
      <w:sz w:val="32"/>
      <w:szCs w:val="32"/>
      <w:u w:color="000000"/>
      <w:lang w:val="zh-TW" w:eastAsia="zh-TW" w:bidi="ar-SA"/>
    </w:rPr>
  </w:style>
  <w:style w:type="character" w:customStyle="1" w:styleId="15">
    <w:name w:val="Header Char"/>
    <w:basedOn w:val="6"/>
    <w:link w:val="4"/>
    <w:semiHidden/>
    <w:uiPriority w:val="99"/>
    <w:rPr>
      <w:rFonts w:ascii="Calibri" w:hAnsi="Calibri" w:eastAsia="Calibri" w:cs="Calibri"/>
      <w:color w:val="000000"/>
      <w:kern w:val="2"/>
      <w:sz w:val="18"/>
      <w:szCs w:val="18"/>
      <w:u w:color="000000"/>
      <w:lang w:val="zh-TW" w:eastAsia="zh-TW"/>
    </w:rPr>
  </w:style>
  <w:style w:type="character" w:customStyle="1" w:styleId="16">
    <w:name w:val="Footer Char"/>
    <w:basedOn w:val="6"/>
    <w:link w:val="3"/>
    <w:semiHidden/>
    <w:uiPriority w:val="99"/>
    <w:rPr>
      <w:rFonts w:ascii="Calibri" w:hAnsi="Calibri" w:eastAsia="Calibri" w:cs="Calibri"/>
      <w:color w:val="000000"/>
      <w:kern w:val="2"/>
      <w:sz w:val="18"/>
      <w:szCs w:val="18"/>
      <w:u w:color="000000"/>
      <w:lang w:val="zh-TW" w:eastAsia="zh-TW"/>
    </w:rPr>
  </w:style>
  <w:style w:type="character" w:customStyle="1" w:styleId="17">
    <w:name w:val="Balloon Text Char"/>
    <w:basedOn w:val="6"/>
    <w:link w:val="2"/>
    <w:semiHidden/>
    <w:uiPriority w:val="99"/>
    <w:rPr>
      <w:rFonts w:ascii="Calibri" w:hAnsi="Calibri" w:eastAsia="Calibri" w:cs="Calibri"/>
      <w:color w:val="000000"/>
      <w:kern w:val="2"/>
      <w:sz w:val="18"/>
      <w:szCs w:val="18"/>
      <w:u w:color="000000"/>
      <w:lang w:val="zh-TW" w:eastAsia="zh-TW"/>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image" Target="media/image1.png"/>
  <Relationship Id="rId22" Type="http://schemas.openxmlformats.org/officeDocument/2006/relationships/image" Target="media/image2.png"/>
  <Relationship Id="rId23" Type="http://schemas.openxmlformats.org/officeDocument/2006/relationships/customXml" Target="../customXml/item1.xml"/>
  <Relationship Id="rId24" Type="http://schemas.openxmlformats.org/officeDocument/2006/relationships/numbering" Target="numbering.xml"/>
  <Relationship Id="rId25" Type="http://schemas.openxmlformats.org/officeDocument/2006/relationships/fontTable" Target="fontTable.xml"/>
  <Relationship Id="rId3" Type="http://schemas.openxmlformats.org/officeDocument/2006/relationships/footnotes" Target="footnot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黑体"/>
        <a:cs typeface="Helvetica"/>
      </a:majorFont>
      <a:minorFont>
        <a:latin typeface="Helvetica"/>
        <a:ea typeface="宋体"/>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812</Words>
  <Characters>4630</Characters>
  <Lines>38</Lines>
  <Paragraphs>10</Paragraphs>
  <TotalTime>0</TotalTime>
  <ScaleCrop>false</ScaleCrop>
  <LinksUpToDate>false</LinksUpToDate>
  <CharactersWithSpaces>5432</CharactersWithSpaces>
  <Application>WPS Office_10.1.0.5740_F1E327BC-269C-435d-A152-05C5408002CA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2016-01-09T08:28:00Z</dcterms:created>
  <dc:creator>ying</dc:creator>
  <lastModifiedBy>ying</lastModifiedBy>
  <dcterms:modified xsi:type="dcterms:W3CDTF">2016-06-12T07:16:40Z</dcterms:modified>
  <revision>11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