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cs="黑体"/>
          <w:b/>
          <w:kern w:val="0"/>
          <w:sz w:val="32"/>
        </w:rPr>
      </w:pPr>
      <w:r>
        <w:rPr>
          <w:rFonts w:ascii="黑体" w:hAnsi="黑体" w:eastAsia="黑体" w:cs="黑体"/>
          <w:b/>
          <w:kern w:val="0"/>
          <w:sz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黑体" w:hAnsi="黑体" w:eastAsia="黑体" w:cs="黑体"/>
          <w:b/>
          <w:kern w:val="0"/>
          <w:sz w:val="32"/>
        </w:rPr>
        <w:instrText xml:space="preserve">ADDIN CNKISM.UserStyle</w:instrText>
      </w:r>
      <w:r>
        <w:rPr>
          <w:rFonts w:ascii="黑体" w:hAnsi="黑体" w:eastAsia="黑体" w:cs="黑体"/>
          <w:b/>
          <w:kern w:val="0"/>
          <w:sz w:val="32"/>
        </w:rPr>
        <w:fldChar w:fldCharType="end"/>
      </w:r>
      <w:r>
        <w:rPr>
          <w:rFonts w:hint="eastAsia" w:ascii="黑体" w:hAnsi="黑体" w:eastAsia="黑体" w:cs="黑体"/>
          <w:b/>
          <w:kern w:val="0"/>
          <w:sz w:val="32"/>
        </w:rPr>
        <w:t>地方高校专业导论课教学的探究与思考</w:t>
      </w:r>
      <w:r>
        <w:rPr>
          <w:rStyle w:val="13"/>
          <w:rFonts w:hint="eastAsia" w:ascii="黑体" w:hAnsi="黑体" w:eastAsia="黑体" w:cs="黑体"/>
          <w:b/>
          <w:kern w:val="0"/>
          <w:sz w:val="32"/>
        </w:rPr>
        <w:footnoteReference w:id="0"/>
      </w:r>
    </w:p>
    <w:p>
      <w:pPr>
        <w:spacing w:line="360" w:lineRule="auto"/>
        <w:jc w:val="center"/>
        <w:rPr>
          <w:rFonts w:ascii="宋体" w:hAnsi="宋体" w:eastAsia="宋体" w:cs="宋体"/>
          <w:szCs w:val="21"/>
        </w:rPr>
      </w:pPr>
      <w:r>
        <w:rPr>
          <w:rFonts w:hint="eastAsia" w:ascii="宋体" w:hAnsi="宋体" w:eastAsia="宋体" w:cs="宋体"/>
          <w:szCs w:val="21"/>
        </w:rPr>
        <w:t>余水妹，戴红宇</w:t>
      </w:r>
    </w:p>
    <w:p>
      <w:pPr>
        <w:spacing w:line="360" w:lineRule="auto"/>
        <w:jc w:val="center"/>
        <w:rPr>
          <w:rFonts w:ascii="宋体" w:hAnsi="宋体" w:eastAsia="宋体" w:cs="宋体"/>
          <w:szCs w:val="21"/>
        </w:rPr>
      </w:pPr>
      <w:r>
        <w:rPr>
          <w:rFonts w:hint="eastAsia" w:ascii="宋体" w:hAnsi="宋体" w:eastAsia="宋体" w:cs="宋体"/>
          <w:szCs w:val="21"/>
        </w:rPr>
        <w:t>（三明学院艺术设计学院，福建</w:t>
      </w:r>
      <w:r>
        <w:rPr>
          <w:rFonts w:hint="eastAsia" w:ascii="宋体" w:hAnsi="宋体" w:eastAsia="宋体" w:cs="宋体"/>
          <w:szCs w:val="21"/>
          <w:lang w:val="en-US" w:eastAsia="zh-CN"/>
        </w:rPr>
        <w:t xml:space="preserve"> </w:t>
      </w:r>
      <w:r>
        <w:rPr>
          <w:rFonts w:hint="eastAsia" w:ascii="宋体" w:hAnsi="宋体" w:eastAsia="宋体" w:cs="宋体"/>
          <w:szCs w:val="21"/>
        </w:rPr>
        <w:t>三明</w:t>
      </w:r>
      <w:r>
        <w:rPr>
          <w:rFonts w:hint="eastAsia" w:ascii="宋体" w:hAnsi="宋体" w:eastAsia="宋体" w:cs="宋体"/>
          <w:szCs w:val="21"/>
          <w:lang w:val="en-US" w:eastAsia="zh-CN"/>
        </w:rPr>
        <w:t xml:space="preserve"> </w:t>
      </w:r>
      <w:r>
        <w:rPr>
          <w:rFonts w:hint="eastAsia" w:ascii="宋体" w:hAnsi="宋体" w:eastAsia="宋体" w:cs="宋体"/>
          <w:szCs w:val="21"/>
        </w:rPr>
        <w:t>365004）</w:t>
      </w:r>
    </w:p>
    <w:p>
      <w:pPr>
        <w:spacing w:line="360" w:lineRule="auto"/>
        <w:ind w:firstLine="354" w:firstLineChars="196"/>
        <w:rPr>
          <w:rFonts w:ascii="黑体" w:hAnsi="宋体" w:eastAsia="黑体"/>
          <w:b/>
          <w:sz w:val="18"/>
          <w:szCs w:val="18"/>
        </w:rPr>
      </w:pPr>
    </w:p>
    <w:p>
      <w:pPr>
        <w:spacing w:line="360" w:lineRule="auto"/>
        <w:ind w:firstLine="413" w:firstLineChars="196"/>
        <w:rPr>
          <w:rFonts w:ascii="宋体" w:hAnsi="宋体" w:eastAsia="宋体" w:cs="宋体"/>
          <w:szCs w:val="21"/>
        </w:rPr>
      </w:pPr>
      <w:r>
        <w:rPr>
          <w:rFonts w:hint="eastAsia" w:ascii="宋体" w:hAnsi="宋体" w:eastAsia="宋体" w:cs="宋体"/>
          <w:b/>
          <w:szCs w:val="21"/>
        </w:rPr>
        <w:t>摘要:</w:t>
      </w:r>
      <w:r>
        <w:rPr>
          <w:rFonts w:hint="eastAsia" w:ascii="宋体" w:hAnsi="宋体" w:eastAsia="宋体" w:cs="宋体"/>
          <w:szCs w:val="21"/>
        </w:rPr>
        <w:t xml:space="preserve"> 专业导论课程作为大学新生入学后接触的第一门专业基础课，具有促进学生形成专业认知、帮助学生培养学习兴趣的功能。然而，在地方高校的教育教学实践中，专业导论课程存在着课程标准不够规范、师资队伍不够完善、考核方式不够合理等问题。在地方高校应用型转变的发展要求下，专业导论课程应适度拓展课程内涵，提升学生对专业职业发展方向的认识和对应用型人才培养的认知，从而切实提升专业导论的教学实效，进一步坚定学生学好本专业、从事本专业工作的信念。</w:t>
      </w:r>
    </w:p>
    <w:p>
      <w:pPr>
        <w:spacing w:line="360" w:lineRule="auto"/>
        <w:ind w:firstLine="413" w:firstLineChars="196"/>
        <w:rPr>
          <w:rFonts w:ascii="宋体" w:hAnsi="宋体" w:eastAsia="宋体" w:cs="宋体"/>
          <w:szCs w:val="21"/>
        </w:rPr>
      </w:pPr>
      <w:r>
        <w:rPr>
          <w:rFonts w:hint="eastAsia" w:ascii="宋体" w:hAnsi="宋体" w:eastAsia="宋体" w:cs="宋体"/>
          <w:b/>
          <w:szCs w:val="21"/>
        </w:rPr>
        <w:t>关键词:</w:t>
      </w:r>
      <w:r>
        <w:rPr>
          <w:rFonts w:hint="eastAsia" w:ascii="宋体" w:hAnsi="宋体" w:eastAsia="宋体" w:cs="宋体"/>
          <w:szCs w:val="21"/>
        </w:rPr>
        <w:t xml:space="preserve"> 专业导论；地方高校；应用型转变  </w:t>
      </w:r>
    </w:p>
    <w:p>
      <w:pPr>
        <w:spacing w:line="360" w:lineRule="auto"/>
        <w:ind w:firstLine="413" w:firstLineChars="196"/>
        <w:rPr>
          <w:rFonts w:ascii="宋体" w:hAnsi="宋体" w:eastAsia="宋体" w:cs="宋体"/>
          <w:b/>
          <w:szCs w:val="21"/>
        </w:rPr>
      </w:pPr>
      <w:r>
        <w:rPr>
          <w:rFonts w:hint="eastAsia" w:ascii="宋体" w:hAnsi="宋体" w:eastAsia="宋体" w:cs="宋体"/>
          <w:b/>
          <w:szCs w:val="21"/>
        </w:rPr>
        <w:t>中图分类号：</w:t>
      </w:r>
      <w:r>
        <w:rPr>
          <w:rFonts w:hint="eastAsia" w:ascii="宋体" w:hAnsi="宋体" w:eastAsia="宋体" w:cs="Arial"/>
          <w:color w:val="000000"/>
          <w:kern w:val="0"/>
          <w:szCs w:val="21"/>
        </w:rPr>
        <w:t xml:space="preserve">G640               </w:t>
      </w:r>
      <w:r>
        <w:rPr>
          <w:rFonts w:hint="eastAsia" w:ascii="宋体" w:hAnsi="宋体" w:eastAsia="宋体" w:cs="宋体"/>
          <w:b/>
          <w:szCs w:val="21"/>
        </w:rPr>
        <w:t>文献标识码：</w:t>
      </w:r>
      <w:r>
        <w:rPr>
          <w:rFonts w:hint="eastAsia" w:ascii="宋体" w:hAnsi="宋体" w:eastAsia="宋体" w:cs="宋体"/>
          <w:bCs/>
          <w:szCs w:val="21"/>
        </w:rPr>
        <w:t xml:space="preserve">A </w:t>
      </w:r>
      <w:r>
        <w:rPr>
          <w:rFonts w:hint="eastAsia" w:ascii="宋体" w:hAnsi="宋体" w:eastAsia="宋体" w:cs="宋体"/>
          <w:b/>
          <w:szCs w:val="21"/>
        </w:rPr>
        <w:t xml:space="preserve">   文章编号：</w:t>
      </w:r>
    </w:p>
    <w:p>
      <w:pPr>
        <w:spacing w:line="360" w:lineRule="auto"/>
        <w:ind w:firstLine="411" w:firstLineChars="196"/>
        <w:rPr>
          <w:rFonts w:ascii="宋体" w:hAnsi="宋体" w:eastAsia="宋体" w:cs="宋体"/>
          <w:szCs w:val="21"/>
        </w:rPr>
      </w:pPr>
    </w:p>
    <w:p>
      <w:pPr>
        <w:spacing w:line="400" w:lineRule="exact"/>
        <w:ind w:firstLine="480"/>
        <w:rPr>
          <w:rFonts w:ascii="宋体" w:hAnsi="宋体" w:eastAsia="宋体" w:cs="宋体"/>
          <w:b/>
          <w:szCs w:val="21"/>
        </w:rPr>
      </w:pPr>
      <w:r>
        <w:rPr>
          <w:rFonts w:hint="eastAsia" w:ascii="宋体" w:hAnsi="宋体" w:eastAsia="宋体" w:cs="宋体"/>
          <w:szCs w:val="21"/>
        </w:rPr>
        <w:t>“稀里糊涂进来，又稀里糊涂离开”是对我国相当一部分大学生学习状态的客观描述。大学的学科体系、专业课程、学习目标等都与高中阶段有极大的区别，学生在入学之前对大学专业的印象和认知都是较为有限的。为了让学生能够对所学专业尽快地形成相应的认知，激发学生的学习兴趣提高学习能力，不少地方高校在全校范围内开设了专业导论课程。经过一段时间的探索、改革和实践，课程开设对于帮助学生形成专业认知、提升学习兴趣起到了一定的作用。对于地方高校而言，专业导论课程仍然是比较新颖的课程，在教学实践过程中，对专业导论课程的课程性质、课程内涵、课程评价等课程要素还有许多不甚明确之处。换言之，不少人对专业导论课程的内容及其作用还没有达成共识，甚至存在分歧。随着高等教育教学改革和地方高校应用型转变的不断深入，有必要对专业导论课程进行梳理和规范，使之更好地实现开设的意义和价值。</w:t>
      </w:r>
    </w:p>
    <w:p>
      <w:pPr>
        <w:spacing w:line="400" w:lineRule="exact"/>
        <w:ind w:firstLine="480"/>
        <w:rPr>
          <w:rFonts w:ascii="宋体" w:hAnsi="宋体" w:eastAsia="宋体" w:cs="宋体"/>
          <w:b/>
          <w:sz w:val="24"/>
          <w:szCs w:val="24"/>
        </w:rPr>
      </w:pPr>
      <w:r>
        <w:rPr>
          <w:rFonts w:hint="eastAsia" w:ascii="宋体" w:hAnsi="宋体" w:eastAsia="宋体" w:cs="宋体"/>
          <w:b/>
          <w:sz w:val="24"/>
          <w:szCs w:val="24"/>
        </w:rPr>
        <w:t>一、地方高校开设专业导论课程的意义</w:t>
      </w:r>
    </w:p>
    <w:p>
      <w:pPr>
        <w:spacing w:line="400" w:lineRule="exact"/>
        <w:ind w:firstLine="480"/>
        <w:rPr>
          <w:rFonts w:ascii="宋体" w:hAnsi="宋体" w:eastAsia="宋体" w:cs="宋体"/>
          <w:szCs w:val="21"/>
        </w:rPr>
      </w:pPr>
      <w:r>
        <w:rPr>
          <w:rFonts w:hint="eastAsia" w:ascii="宋体" w:hAnsi="宋体" w:eastAsia="宋体" w:cs="宋体"/>
          <w:szCs w:val="21"/>
        </w:rPr>
        <w:t>目前，大部分地方本科高校在人才培养方案中，都增设了专业导论课程。作为专业基础课，要求在新生入学后的第一学期开设，计1学分16课时。但对于专业导论课程该讲什么、怎么讲、如何考核并没有给出具体的标准。在课内学分、学时不断压缩的情况下，用1个学分来开设专业导论课，应当要凸显其应有的价值和作用。一方面，作为专业基础课程，其课程内容、课程目标要具有专业属性，与学生所学的学科、专业密切相关，即专业导论课程的教育与普通高校的新生入学教育是有较大差别的，其更强调专业性和学科性。另一方面，1学分、16学时的课程安排，也意味着专业导论课是对学生所学课程专业的简要、宏观的介绍或鸟瞰，并不在于养成具体的专业理论或专业技能，体现了它的基础性。可以说，专业导论课程是学生接触到的第一门专业课程，既要体现它的专业性，又要强化它的基础性，如何上好这门课，对学生今后的专业学习、专业实践具有较大的意义。</w:t>
      </w:r>
    </w:p>
    <w:p>
      <w:pPr>
        <w:spacing w:line="400" w:lineRule="exact"/>
        <w:ind w:firstLine="480"/>
        <w:rPr>
          <w:rFonts w:ascii="宋体" w:hAnsi="宋体" w:eastAsia="宋体" w:cs="宋体"/>
          <w:szCs w:val="21"/>
        </w:rPr>
      </w:pPr>
      <w:r>
        <w:rPr>
          <w:rFonts w:hint="eastAsia" w:ascii="宋体" w:hAnsi="宋体" w:eastAsia="宋体" w:cs="宋体"/>
          <w:szCs w:val="21"/>
        </w:rPr>
        <w:t>一方面，首先，专业导论课能帮助学生尽快地形成应用型转变下的专业认知，融入专业学习环境。大学的学科学习与高中阶段的学科学习内容、方式有相当大的差别，对于地方高校而言，更要正视学生对学科专业的认知是比较浅显的，不少高中生“由于不能及时调整心态适应大学的学习和生活环境，缺乏目标和规划，结果导致思想懈怠，成绩大幅下滑，不能很好地完成由高中生向大学生的转变。”[1]特别是应用型转变作为国家对地方高校的新要求，是学生在以往的认知中所较少涉及的，以至于部分学生、家长将这样一种应用型转变理解为“专科教育”。因此，刚入学的新生迫切需要有相关的背景的教师从学科专业的角度进行引导。换言之，专业导论课程能够在较大程度上帮助学生尽快地形成专业认知，以便于其及时调整学习的心态、掌握专业学习方法、树立专业学习目标。同时，也有助于学生对自己的专业学习有整体认知，以便对今后的专业发展进行合理规划。</w:t>
      </w:r>
    </w:p>
    <w:p>
      <w:pPr>
        <w:spacing w:line="400" w:lineRule="exact"/>
        <w:ind w:firstLine="480"/>
        <w:rPr>
          <w:rFonts w:ascii="宋体" w:hAnsi="宋体" w:eastAsia="宋体" w:cs="宋体"/>
          <w:szCs w:val="21"/>
        </w:rPr>
      </w:pPr>
      <w:r>
        <w:rPr>
          <w:rFonts w:hint="eastAsia" w:ascii="宋体" w:hAnsi="宋体" w:eastAsia="宋体" w:cs="宋体"/>
          <w:szCs w:val="21"/>
        </w:rPr>
        <w:t>其次，专业导论课能激发和培养学生的学习兴趣。地方高校大学生由高中升入大学之后出现的“迷茫期”，究其原因，除了对专业知识缺乏足够的认知外，缺乏足够的学习兴趣也是一大原因。特别是艺术类专业的学生，认为自己到大学之后应该学习一些“高大上”、“阳春白雪”的专业知识和专业技能，对入门阶段的基础课程和理论课程往往没有足够的学习兴趣。随着地方高校应用型转变的深入，艺术类专业尤为强调学生在课外的自主学习、探究学习、创新学习，而忽略了浓厚的学习兴趣可以“激发学生的探究性思维……进而保持活跃的思维状态，用于探求新的知识，敢于进行创新思维和创新实践”。[2]专业导论课程得益于其课程内容的广泛性，更易调动、引导学生的学习兴趣，帮助学生形成探究性思维，从而提升学生的创造性。</w:t>
      </w:r>
    </w:p>
    <w:p>
      <w:pPr>
        <w:spacing w:line="400" w:lineRule="exact"/>
        <w:ind w:firstLine="480"/>
        <w:rPr>
          <w:rFonts w:ascii="宋体" w:hAnsi="宋体" w:eastAsia="宋体" w:cs="宋体"/>
          <w:szCs w:val="21"/>
        </w:rPr>
      </w:pPr>
      <w:r>
        <w:rPr>
          <w:rFonts w:hint="eastAsia" w:ascii="宋体" w:hAnsi="宋体" w:eastAsia="宋体" w:cs="宋体"/>
          <w:szCs w:val="21"/>
        </w:rPr>
        <w:t>应用型本科教育是随着科技发展和高等教育由精英教育向大众化教育转变过程中形成的一种新的教育类型，是我国地方高等教育的主体，直接关系到地方经济建设与社会发展。地方高校的应用型转变与“专科教育”是有本质区别的，这就需要地方高校通过专业导论给予解答。</w:t>
      </w:r>
    </w:p>
    <w:p>
      <w:pPr>
        <w:spacing w:line="400" w:lineRule="exact"/>
        <w:ind w:firstLine="480"/>
        <w:rPr>
          <w:rFonts w:ascii="宋体" w:hAnsi="宋体" w:eastAsia="宋体" w:cs="宋体"/>
          <w:b/>
          <w:szCs w:val="21"/>
        </w:rPr>
      </w:pPr>
    </w:p>
    <w:p>
      <w:pPr>
        <w:spacing w:line="400" w:lineRule="exact"/>
        <w:ind w:firstLine="480"/>
        <w:rPr>
          <w:rFonts w:ascii="宋体" w:hAnsi="宋体" w:eastAsia="宋体" w:cs="宋体"/>
          <w:b/>
          <w:sz w:val="24"/>
          <w:szCs w:val="24"/>
        </w:rPr>
      </w:pPr>
      <w:r>
        <w:rPr>
          <w:rFonts w:hint="eastAsia" w:ascii="宋体" w:hAnsi="宋体" w:eastAsia="宋体" w:cs="宋体"/>
          <w:b/>
          <w:sz w:val="24"/>
          <w:szCs w:val="24"/>
        </w:rPr>
        <w:t>二、专业导论需明确课程标准</w:t>
      </w:r>
    </w:p>
    <w:p>
      <w:pPr>
        <w:spacing w:line="400" w:lineRule="exact"/>
        <w:ind w:firstLine="480"/>
        <w:rPr>
          <w:rFonts w:ascii="宋体" w:hAnsi="宋体" w:eastAsia="宋体" w:cs="宋体"/>
          <w:szCs w:val="21"/>
        </w:rPr>
      </w:pPr>
      <w:r>
        <w:rPr>
          <w:rFonts w:hint="eastAsia" w:ascii="宋体" w:hAnsi="宋体" w:eastAsia="宋体" w:cs="宋体"/>
          <w:szCs w:val="21"/>
        </w:rPr>
        <w:t>在现行的教育评价体系中，主要关注教育教学的保障度、达成度和学生的满意度。就专业导论课程而言，确实在一定程度上实现了帮助学生形成专业认知和提高学习兴趣的作用，学生对这门课程的开设满意度也较高。但在具体的教育教学实践过程中，却仍然与课程设置的预期有一定差距，甚至于任课教师在授课过程中，也对课程的完整性提出疑问。这些问题的产生主要是源于专业导论课程还缺乏具体的标准。这个标准包括了课程标准、师资标准和考核标准。</w:t>
      </w:r>
    </w:p>
    <w:p>
      <w:pPr>
        <w:spacing w:line="400" w:lineRule="exact"/>
        <w:ind w:firstLine="480"/>
        <w:rPr>
          <w:rFonts w:ascii="宋体" w:hAnsi="宋体" w:eastAsia="宋体" w:cs="宋体"/>
          <w:szCs w:val="21"/>
        </w:rPr>
      </w:pPr>
      <w:r>
        <w:rPr>
          <w:rFonts w:hint="eastAsia" w:ascii="宋体" w:hAnsi="宋体" w:eastAsia="宋体" w:cs="宋体"/>
          <w:szCs w:val="21"/>
        </w:rPr>
        <w:t>课程标准，主要是指专业导论课程的教学内容和教学方法。从全国范围内来看，尽管专业导论课并不是新兴的课程，然而就地方高校而言，课程的教学内容与教学方法显然是有别于老牌本科高校的。作为一门全校各专业都必须开设的专业基础课程，相当一部分地方高校并没有从校级层面对教学内容做出框架上的规定，各专业的专业导论课程的教学内容和方法也相去甚远。以某山区地方高校的美术学和服装与服饰设计专业为例，课程主要内容包括了专业介绍、人才培养方案解读、专业教师及研究方向介绍、专业职业发展前景，还包括了学籍管理等相关内容。从这样的课程内容设置来看，跟学生的入学教育、《职业生涯规划》课程在一定程度上重合。此外，对于应用型转变中的地方高校而言，专业导论课程虽然不要求掌握具体的专业技能，但是否就意味着不需要实践性的课程内容和相应的教学方法呢？如果仅仅将专业导论课局限在课堂上的理论讲解，是否能够较好地让学生形成对应用型人才概念的认知呢？这些都是需要引起重视和思考的，也需要从顶层设计上，对专业导论课程提出更具规范性的要求，形成较为统一的课程标准，以帮助学生在第一门专业课程的学习中就能够对应用型人才培养有一定的认识。</w:t>
      </w:r>
    </w:p>
    <w:p>
      <w:pPr>
        <w:spacing w:line="400" w:lineRule="exact"/>
        <w:ind w:firstLine="480"/>
        <w:rPr>
          <w:rFonts w:ascii="宋体" w:hAnsi="宋体" w:eastAsia="宋体" w:cs="宋体"/>
          <w:szCs w:val="21"/>
        </w:rPr>
      </w:pPr>
      <w:r>
        <w:rPr>
          <w:rFonts w:hint="eastAsia" w:ascii="宋体" w:hAnsi="宋体" w:eastAsia="宋体" w:cs="宋体"/>
          <w:szCs w:val="21"/>
        </w:rPr>
        <w:t>当前，地方高校专业导论课程教学过程中存在的另一个较为突出的问题就是师资问题。以某地方高校为例，2017级中共有48个班级开设专业导论课程，其中由讲师及以下职称担任主讲教师的有12个班级，占比25%。从一定程度上来说，讲师或青年教师虽然有较大的专业激情，但其对学科整体的把握程度仍然有限。专业导论作为一门全新的课程，在没有形成较为完整的课程标准的时候，更需要发挥任课老师的专业能力和教育能力。在教育教学实践中发现，学生刚进入大学，对专业、教师的印象多较为传统，换言之教师的职称在学生对专业的评价、对教师的评价中仍占有相当大的比重。长期以来，教育部门要求教授、副教授要给本科生上课，而对于地方高校而言，应当从顶层设计上要求教授不仅要给本科生上课，更要为本科生上第一堂专业课。从教育心理学上来说，能够促进学生对专业形成较好的第一印象，并产生晕轮效应。在具体的教育实践中，也有以教师组的形式来进行专业导论的授课，但多为专任教师加上辅导员或行政人员的组合，难以让学生较快地树立起对学科专业的直观认识，也与开设专业导论的本意有所不符。另一方面，教师组的形式往往也在一定程度上弱化了专业导论的内在逻辑性和连续性，影响了课程的实施效果。</w:t>
      </w:r>
    </w:p>
    <w:p>
      <w:pPr>
        <w:spacing w:line="400" w:lineRule="exact"/>
        <w:ind w:firstLine="480"/>
        <w:rPr>
          <w:rFonts w:ascii="宋体" w:hAnsi="宋体" w:eastAsia="宋体" w:cs="宋体"/>
          <w:szCs w:val="21"/>
        </w:rPr>
      </w:pPr>
      <w:r>
        <w:rPr>
          <w:rFonts w:hint="eastAsia" w:ascii="宋体" w:hAnsi="宋体" w:eastAsia="宋体" w:cs="宋体"/>
          <w:szCs w:val="21"/>
        </w:rPr>
        <w:t>此外，在具体的教育教学实践中，专业导论课程的考核问题也值得关注。由于是对学科专业的宏观、简要论述，在于帮助学生对专业学习形成初步认识并养成学习兴趣，而不在于教授具体的专业知识和专业技能，因此，专业导论课程的考核在实施上也就存在一定的困难。从目前的实施情况来看，大部分专业导论课程的考核方式主要有两类，一是写一篇小论文或专题论文，包括论述自己的学习感受、学习规划等；另一种是组织学生进行卷面笔试。这两种考核方式在操作过程中，都存在一定的不合理之处。首先，学生仅仅通过专业导论课的学习就要能够撰写一篇专题论文，这样的目标是不切实际的；其次，学生在小论文的撰写上，相互借鉴、雷同的成分较多，任课教师也不能对学生的学习规划在分数上进行高低之分；再次，考虑到专业导论课的实际教学内容，“具有难度不大但信息量大的特点”，[3]采取卷面笔试的话，考试的内容多为死记硬背，对专业学习和兴趣提升并没有太大的意义。在课程考核上，应当采取更贴近课程内容和课程目标的形式，着重考核学生对专业的认识和学习的投入程度，例如可以通过参观考察实践场所，并结合特定案例，要求学生进行从专业角度进行初步分析，从而进一步激发学生的学习兴趣。</w:t>
      </w:r>
    </w:p>
    <w:p>
      <w:pPr>
        <w:spacing w:line="400" w:lineRule="exact"/>
        <w:ind w:firstLine="480"/>
        <w:rPr>
          <w:rFonts w:ascii="宋体" w:hAnsi="宋体" w:eastAsia="宋体" w:cs="宋体"/>
          <w:b/>
          <w:sz w:val="24"/>
          <w:szCs w:val="24"/>
        </w:rPr>
      </w:pPr>
    </w:p>
    <w:p>
      <w:pPr>
        <w:spacing w:line="400" w:lineRule="exact"/>
        <w:ind w:firstLine="480"/>
        <w:rPr>
          <w:rFonts w:ascii="宋体" w:hAnsi="宋体" w:eastAsia="宋体" w:cs="宋体"/>
          <w:b/>
          <w:sz w:val="24"/>
          <w:szCs w:val="24"/>
        </w:rPr>
      </w:pPr>
      <w:r>
        <w:rPr>
          <w:rFonts w:hint="eastAsia" w:ascii="宋体" w:hAnsi="宋体" w:eastAsia="宋体" w:cs="宋体"/>
          <w:b/>
          <w:sz w:val="24"/>
          <w:szCs w:val="24"/>
        </w:rPr>
        <w:t>三、地方高校专业导论应契合应用转型</w:t>
      </w:r>
    </w:p>
    <w:p>
      <w:pPr>
        <w:spacing w:line="400" w:lineRule="exact"/>
        <w:ind w:firstLine="480"/>
        <w:rPr>
          <w:rFonts w:ascii="宋体" w:hAnsi="宋体" w:eastAsia="宋体" w:cs="宋体"/>
          <w:szCs w:val="21"/>
        </w:rPr>
      </w:pPr>
      <w:r>
        <w:rPr>
          <w:rFonts w:hint="eastAsia" w:ascii="宋体" w:hAnsi="宋体" w:eastAsia="宋体" w:cs="宋体"/>
          <w:szCs w:val="21"/>
        </w:rPr>
        <w:t>从已有的研究成果来看，专业导论课程在帮助学生提高专业认证、培养学习兴趣上具有较大的积极作用。而从教育教学实践来看，地方高校应当结合应用型转变、创新创业教育等高等教育发展趋势和要求，进一步优化专业导论课的课程内容和课程形式，从而更好地匹配课程开设的预期目标。</w:t>
      </w:r>
    </w:p>
    <w:p>
      <w:pPr>
        <w:spacing w:line="400" w:lineRule="exact"/>
        <w:ind w:firstLine="480"/>
        <w:rPr>
          <w:rFonts w:ascii="宋体" w:hAnsi="宋体" w:eastAsia="宋体" w:cs="宋体"/>
          <w:b/>
          <w:bCs/>
          <w:szCs w:val="21"/>
        </w:rPr>
      </w:pPr>
      <w:r>
        <w:rPr>
          <w:rFonts w:hint="eastAsia" w:ascii="宋体" w:hAnsi="宋体" w:eastAsia="宋体" w:cs="宋体"/>
          <w:b/>
          <w:bCs/>
          <w:szCs w:val="21"/>
        </w:rPr>
        <w:t>（一）拓展专业导论课的课程内涵</w:t>
      </w:r>
    </w:p>
    <w:p>
      <w:pPr>
        <w:spacing w:line="400" w:lineRule="exact"/>
        <w:ind w:firstLine="480"/>
        <w:rPr>
          <w:rFonts w:ascii="宋体" w:hAnsi="宋体" w:eastAsia="宋体" w:cs="宋体"/>
          <w:szCs w:val="21"/>
        </w:rPr>
      </w:pPr>
      <w:r>
        <w:rPr>
          <w:rFonts w:hint="eastAsia" w:ascii="宋体" w:hAnsi="宋体" w:eastAsia="宋体" w:cs="宋体"/>
          <w:szCs w:val="21"/>
        </w:rPr>
        <w:t>由于专业导论的课程性质所限，有学生反映课程的“部分内容比较空泛，与同学们的思想实际和现实生活还有些脱离等”。[5]这就要求地方高校在设置专业导论课的教学内容、教学方法时，要充分考虑学生的学习基础和学习特点，并且要使专业导论课程与学生的专业成长形成内在联系。就地方高校的实际而言，专业导论课程除了学科专业基本介绍之外，还应与创新创业教育和专业职业教育融合起来，从而拓展课程的内涵。</w:t>
      </w:r>
    </w:p>
    <w:p>
      <w:pPr>
        <w:spacing w:line="400" w:lineRule="exact"/>
        <w:ind w:firstLine="480"/>
        <w:rPr>
          <w:rFonts w:ascii="宋体" w:hAnsi="宋体" w:eastAsia="宋体" w:cs="宋体"/>
          <w:szCs w:val="21"/>
        </w:rPr>
      </w:pPr>
      <w:r>
        <w:rPr>
          <w:rFonts w:hint="eastAsia" w:ascii="宋体" w:hAnsi="宋体" w:eastAsia="宋体" w:cs="宋体"/>
          <w:szCs w:val="21"/>
        </w:rPr>
        <w:t>当前国家强调构建创新创业教育课程体系，但是大部分学生对专业学习和创新创业教育之间的关系并不明晰。换言之，专业教育和创新创业教育并没有形成有机的整体，学生对创新创业教育的认知也往往来源于公共课程而非专业课程。地方高校专业导论课程除了专业介绍、职业前景分析外，也应当及时有效地帮助学生形成创新创业教育的初步认识，尤其是将专业教育和创新创业教育结合起来，在拓展课程内涵的同时，也可以进一步培养学生的学习兴趣、调动学生的学习积极性。同时，更好地为地方高校长期的创新创业教育奠定一定的基础。</w:t>
      </w:r>
    </w:p>
    <w:p>
      <w:pPr>
        <w:spacing w:line="400" w:lineRule="exact"/>
        <w:ind w:firstLine="480"/>
        <w:rPr>
          <w:rFonts w:ascii="宋体" w:hAnsi="宋体" w:eastAsia="宋体" w:cs="宋体"/>
          <w:szCs w:val="21"/>
        </w:rPr>
      </w:pPr>
      <w:r>
        <w:rPr>
          <w:rFonts w:hint="eastAsia" w:ascii="宋体" w:hAnsi="宋体" w:eastAsia="宋体" w:cs="宋体"/>
          <w:szCs w:val="21"/>
        </w:rPr>
        <w:t>此外，除了帮助学生形成专业认知、培养学习兴趣外，地方高校应基于地方性、应用型的人才培养定位，适当拓展课程内涵，帮助学生形成一定的职业认知。以某地方高校为例，目前与就业创业相关的课程有《职业生涯规划》、《就业指导》、《大学生创业基础》等课程，但都是作为公共课进行开设，专业属性较弱。地方高校培养的人才，大部分都是以行业一线作为主要的就业方向，因此要从专业上让学生对自己的职业方向有初步的认知。这固然可以在今后的专业学习逐步培养、积累，但在新生入学时对自己的职业方向有一定的认识既可以帮助学生更好地进行学习规划，也可以有效避免学生在接触实践教学后产生落差心里。专业导论课程可以适度地拓展课程内涵，将专业特点和职业方向的教育教学有机融合，以更好地达成课程开设的目标。</w:t>
      </w:r>
    </w:p>
    <w:p>
      <w:pPr>
        <w:spacing w:line="400" w:lineRule="exact"/>
        <w:ind w:firstLine="480"/>
        <w:rPr>
          <w:rFonts w:ascii="宋体" w:hAnsi="宋体" w:eastAsia="宋体" w:cs="宋体"/>
          <w:b/>
          <w:bCs/>
          <w:szCs w:val="21"/>
        </w:rPr>
      </w:pPr>
      <w:r>
        <w:rPr>
          <w:rFonts w:hint="eastAsia" w:ascii="宋体" w:hAnsi="宋体" w:eastAsia="宋体" w:cs="宋体"/>
          <w:b/>
          <w:bCs/>
          <w:szCs w:val="21"/>
        </w:rPr>
        <w:t>（二）构建专业导论课的师资队伍</w:t>
      </w:r>
    </w:p>
    <w:p>
      <w:pPr>
        <w:spacing w:line="400" w:lineRule="exact"/>
        <w:ind w:firstLine="480"/>
        <w:rPr>
          <w:rFonts w:ascii="宋体" w:hAnsi="宋体" w:eastAsia="宋体" w:cs="宋体"/>
          <w:szCs w:val="21"/>
        </w:rPr>
      </w:pPr>
      <w:r>
        <w:rPr>
          <w:rFonts w:hint="eastAsia" w:ascii="宋体" w:hAnsi="宋体" w:eastAsia="宋体" w:cs="宋体"/>
          <w:szCs w:val="21"/>
        </w:rPr>
        <w:t>从课程的学分学时来看，专业导论课作为一门基础性、概要性的课程，其在人才培养方案中的占比是较低的，但是从对学生的教育作用来说，绝不是1个学分或者16个学时可以容纳的。只有树立了对专业导论的正确认识，才能够对其师资的重要性形成正确的认识，引导一批专业水平高、教育能力强的学者主动投入到专业导论课程的教学和研究当中去。</w:t>
      </w:r>
    </w:p>
    <w:p>
      <w:pPr>
        <w:spacing w:line="400" w:lineRule="exact"/>
        <w:ind w:firstLine="480"/>
        <w:rPr>
          <w:rFonts w:ascii="宋体" w:hAnsi="宋体" w:eastAsia="宋体" w:cs="宋体"/>
          <w:szCs w:val="21"/>
        </w:rPr>
      </w:pPr>
      <w:r>
        <w:rPr>
          <w:rFonts w:hint="eastAsia" w:ascii="宋体" w:hAnsi="宋体" w:eastAsia="宋体" w:cs="宋体"/>
          <w:szCs w:val="21"/>
        </w:rPr>
        <w:t>一方面，专业导论课作为一门“入门”、“通览”的课程，需要任课教师具有该学科的知识厚度和深度，并且对学科专业，尤其是本校这一专业的历史、现状、发展前景有较深刻的认识。另一方面，在学生接触第一门专业课时，由具有高级职称的教授、副教授来授课，更容易提高学生对专业学习的重视度，强化严肃性，这一诉求在地方高校中尤其强烈。因此，有人提出，专业导论课程的授课教师“应由本学科和专业领域中的资深教授来担当。”[4]同时，针对课程内容的丰富性，甚至要求以专题形式对课程内容进行呈现，也应当逐步培养较为稳定的教师队伍。此外，为体现地方高校立足地方产业实际，培养地方性、应用型人才的目标，亦可考虑在专业导论课程伊始就邀请业界人士参与，进行“一课双师”，对于培养学生的专业性，提升学习热情和学习兴趣都是有益的。</w:t>
      </w:r>
    </w:p>
    <w:p>
      <w:pPr>
        <w:spacing w:line="400" w:lineRule="exact"/>
        <w:ind w:firstLine="480"/>
        <w:rPr>
          <w:rFonts w:ascii="宋体" w:hAnsi="宋体" w:eastAsia="宋体" w:cs="宋体"/>
          <w:b/>
          <w:bCs/>
          <w:szCs w:val="21"/>
        </w:rPr>
      </w:pPr>
      <w:r>
        <w:rPr>
          <w:rFonts w:hint="eastAsia" w:ascii="宋体" w:hAnsi="宋体" w:eastAsia="宋体" w:cs="宋体"/>
          <w:b/>
          <w:bCs/>
          <w:szCs w:val="21"/>
        </w:rPr>
        <w:t>（三）创新专业导论的考核形式</w:t>
      </w:r>
    </w:p>
    <w:p>
      <w:pPr>
        <w:spacing w:line="400" w:lineRule="exact"/>
        <w:ind w:firstLine="480"/>
        <w:rPr>
          <w:rFonts w:ascii="宋体" w:hAnsi="宋体" w:eastAsia="宋体" w:cs="宋体"/>
          <w:szCs w:val="21"/>
        </w:rPr>
      </w:pPr>
      <w:r>
        <w:rPr>
          <w:rFonts w:hint="eastAsia" w:ascii="宋体" w:hAnsi="宋体" w:eastAsia="宋体" w:cs="宋体"/>
          <w:szCs w:val="21"/>
        </w:rPr>
        <w:t>当前，地方高校一直在推动诸如翻转课堂、“混合式”教学等的教学模式改革，但与之相对的是课程考核改革的滞后；从某种程度上来说，过度追求课程考核的标准化、具体化影响了课程教学模式改革的实际成效。对于专业导论而言更是如此。从实践上来看，不少地方高校对专业导论课程的考核还是采取传统卷面笔试的方式。</w:t>
      </w:r>
    </w:p>
    <w:p>
      <w:pPr>
        <w:spacing w:line="400" w:lineRule="exact"/>
        <w:ind w:firstLine="480"/>
        <w:rPr>
          <w:rFonts w:ascii="宋体" w:hAnsi="宋体" w:eastAsia="宋体" w:cs="宋体"/>
          <w:szCs w:val="21"/>
        </w:rPr>
      </w:pPr>
      <w:r>
        <w:rPr>
          <w:rFonts w:hint="eastAsia" w:ascii="宋体" w:hAnsi="宋体" w:eastAsia="宋体" w:cs="宋体"/>
          <w:szCs w:val="21"/>
        </w:rPr>
        <w:t>大学课程的学习与高中阶段的学习从形式、方法和目的上都有较大的不同。一方面，专业导论的宏观性和概论性决定了其不在于传授具体的学科专业知识或者学科专业技能，因此，难以用传统的考核方式来对学生的学习成效进行检验。另一方面，作为学生进入大学后学习的第一门专业课应该帮助学生树立起较为正确的学习观和考核观，即学习不是为了考试、考核也不仅仅是卷面成绩。地方高校在应用型转变的过程中，要进一步树立以学生的学习实效来进行课程考核的观念。专业导论课程考核的目的应该是“检查课程这一制度，而不是甄别每一个学生的成绩。”[6]对于一门新设置的课程来说，更要有敢于进行课程考核方式改革、创新的基础和勇气，针对不同专业、不同方向的学生可以分别采取笔试、实作、口试等多种考核方式，以多种途径了解学生的相关学习情况，真正做到“以学习者为中心的评价原则”。同时更要为学生提供课程考核的反馈信息，帮助学生及时调整、改进。就专业导论课而言，如果学生没有形成对学科专业和应用型人才培养的较为正确的认识，恰恰是课程本身的失效。</w:t>
      </w:r>
    </w:p>
    <w:p>
      <w:pPr>
        <w:spacing w:line="400" w:lineRule="exact"/>
        <w:ind w:firstLine="480"/>
        <w:rPr>
          <w:rFonts w:ascii="宋体" w:hAnsi="宋体" w:eastAsia="宋体" w:cs="宋体"/>
          <w:szCs w:val="21"/>
        </w:rPr>
      </w:pPr>
      <w:r>
        <w:rPr>
          <w:rFonts w:hint="eastAsia" w:ascii="宋体" w:hAnsi="宋体" w:eastAsia="宋体" w:cs="宋体"/>
          <w:szCs w:val="21"/>
        </w:rPr>
        <w:t>地方高校应适当创新专业导论课程的考核形式，例如可以要求学生在课程学习结束之后，结合第一学期的专业学习，描述自己对学科专业的认识，或者描述自己对学科专业的职业认知；也可以通过口试的方式了解学生的专业认知情况，并在交流的过程中及时地进行反馈。相对于其他课程，专业导论课由于并没有较为具体的专业知识和技能，因此考核的内容可以丰富多元。更重要的是，专业导论课程的考核结果应该及时地与其他专业老师共享，从而更好地帮助学生实现专业成长。</w:t>
      </w:r>
    </w:p>
    <w:p>
      <w:pPr>
        <w:spacing w:line="400" w:lineRule="exact"/>
        <w:ind w:firstLine="422" w:firstLineChars="200"/>
        <w:rPr>
          <w:rFonts w:ascii="宋体" w:hAnsi="宋体" w:eastAsia="宋体" w:cs="宋体"/>
          <w:b/>
          <w:bCs/>
          <w:szCs w:val="21"/>
        </w:rPr>
      </w:pPr>
      <w:r>
        <w:rPr>
          <w:rFonts w:hint="eastAsia" w:ascii="宋体" w:hAnsi="宋体" w:eastAsia="宋体" w:cs="宋体"/>
          <w:b/>
          <w:bCs/>
          <w:szCs w:val="21"/>
        </w:rPr>
        <w:t>（四）树立学生对应用型转变的认识</w:t>
      </w:r>
    </w:p>
    <w:p>
      <w:pPr>
        <w:spacing w:line="400" w:lineRule="exact"/>
        <w:ind w:firstLine="480"/>
        <w:rPr>
          <w:rFonts w:ascii="宋体" w:hAnsi="宋体" w:eastAsia="宋体" w:cs="宋体"/>
          <w:szCs w:val="21"/>
        </w:rPr>
      </w:pPr>
      <w:r>
        <w:rPr>
          <w:rFonts w:hint="eastAsia" w:ascii="宋体" w:hAnsi="宋体" w:eastAsia="宋体" w:cs="宋体"/>
          <w:szCs w:val="21"/>
        </w:rPr>
        <w:t>对于地方高校而言，其发展定位、人才培养都是在应用型转变的总体要求下进行相应的改革。虽然地方高校的应用型转变已经进行了五六个年头，但对于学生而言仍然是一个新鲜的事物，特别是新生入学前对学科专业、人才培养的认识往往来源于教师、家长等长辈。他们之中虽然也接受过高等教育，但对当前地方高校的应用型转变和应用型人才培养所知并不多。因此，特别是地方高校，新生入学之初更容易产生落差感，甚至不少学生对毕业后要从事生产一线的工作表示不解和不满。</w:t>
      </w:r>
    </w:p>
    <w:p>
      <w:pPr>
        <w:spacing w:line="400" w:lineRule="exact"/>
        <w:ind w:firstLine="480"/>
        <w:rPr>
          <w:rFonts w:ascii="宋体" w:hAnsi="宋体" w:eastAsia="宋体" w:cs="宋体"/>
          <w:szCs w:val="21"/>
        </w:rPr>
      </w:pPr>
      <w:r>
        <w:rPr>
          <w:rFonts w:hint="eastAsia" w:ascii="宋体" w:hAnsi="宋体" w:eastAsia="宋体" w:cs="宋体"/>
          <w:szCs w:val="21"/>
        </w:rPr>
        <w:t>陈宝生部长《在新时代全国高等学校本科教育工作会议上的讲话》中指出，本科教育要“回归常识”、“高校必须围绕学生刻苦读书来办教育”。在地方高校的转型发展时期，专业导论课程应当适当融合校情、学情教育，使学生对应用型转变的大环境下学校的发展定位、专业的发展定位、以及自身的发展定位有更为清晰的认知。例如</w:t>
      </w:r>
      <w:r>
        <w:rPr>
          <w:rFonts w:hint="eastAsia" w:ascii="宋体" w:hAnsi="宋体" w:eastAsia="宋体" w:cs="宋体"/>
          <w:color w:val="FF0000"/>
          <w:szCs w:val="21"/>
        </w:rPr>
        <w:t>三明学院</w:t>
      </w:r>
      <w:r>
        <w:rPr>
          <w:rFonts w:hint="eastAsia" w:ascii="宋体" w:hAnsi="宋体" w:eastAsia="宋体" w:cs="宋体"/>
          <w:szCs w:val="21"/>
        </w:rPr>
        <w:t>在应用型人才培养中，提出了进一步改革第一课堂和第二课堂的关系，推进第二课堂的“学分化”、“项目化”、“课程化”。但不少学生到了大二大三，仍然不能理解第二课堂的内容，对于第二课堂的“三化”也是一头雾水，显然无法有效地实现第一课堂和第二课堂的衔接，也就没有办法有效地将第二课堂对应用型人才培养的作用落到实处。“学生要成为教学活动的主体，首先应对自己的学习生涯有相当的认识和规划，要懂得学什么、怎么学、怎么学好。”</w:t>
      </w:r>
      <w:r>
        <w:rPr>
          <w:rFonts w:hint="eastAsia" w:ascii="宋体" w:hAnsi="宋体" w:eastAsia="宋体" w:cs="宋体"/>
          <w:szCs w:val="21"/>
          <w:vertAlign w:val="superscript"/>
        </w:rPr>
        <w:t>[7]</w:t>
      </w:r>
      <w:r>
        <w:rPr>
          <w:rFonts w:hint="eastAsia" w:ascii="宋体" w:hAnsi="宋体" w:eastAsia="宋体" w:cs="宋体"/>
          <w:szCs w:val="21"/>
        </w:rPr>
        <w:t>只有在明白了应用型人才是做什么的、应用型人才是怎么培养的，学生才能够对自己的专业学习有更端正的态度和高效的学习方法。而这恰恰是专业导论的开设意义所在，也是在实施专业导论的教学过程中不能偏离的“初心”。</w:t>
      </w:r>
    </w:p>
    <w:p>
      <w:pPr>
        <w:spacing w:line="400" w:lineRule="exact"/>
        <w:ind w:firstLine="482" w:firstLineChars="200"/>
        <w:rPr>
          <w:rFonts w:ascii="宋体" w:hAnsi="宋体" w:eastAsia="宋体" w:cs="宋体"/>
          <w:b/>
          <w:sz w:val="24"/>
          <w:szCs w:val="24"/>
        </w:rPr>
      </w:pPr>
    </w:p>
    <w:p>
      <w:pPr>
        <w:spacing w:line="400" w:lineRule="exact"/>
        <w:ind w:firstLine="482" w:firstLineChars="200"/>
        <w:rPr>
          <w:rFonts w:ascii="宋体" w:hAnsi="宋体" w:eastAsia="宋体" w:cs="宋体"/>
          <w:szCs w:val="21"/>
        </w:rPr>
      </w:pPr>
      <w:r>
        <w:rPr>
          <w:rFonts w:hint="eastAsia" w:ascii="宋体" w:hAnsi="宋体" w:eastAsia="宋体" w:cs="宋体"/>
          <w:b/>
          <w:sz w:val="24"/>
          <w:szCs w:val="24"/>
        </w:rPr>
        <w:t>四、结语</w:t>
      </w:r>
    </w:p>
    <w:p>
      <w:pPr>
        <w:spacing w:line="400" w:lineRule="exact"/>
        <w:ind w:firstLine="480"/>
        <w:rPr>
          <w:rFonts w:ascii="宋体" w:hAnsi="宋体" w:eastAsia="宋体" w:cs="宋体"/>
          <w:szCs w:val="21"/>
        </w:rPr>
      </w:pPr>
      <w:r>
        <w:rPr>
          <w:rFonts w:hint="eastAsia" w:ascii="宋体" w:hAnsi="宋体" w:eastAsia="宋体" w:cs="宋体"/>
          <w:szCs w:val="21"/>
        </w:rPr>
        <w:t>提高学生对学科专业的认知、培养学生的学习兴趣和学习方法、提升学生对职业发展的认知是地方高校长期的教育过程，而不仅仅是依靠一门专业导论课程可以解决的。但作为大学新生接触到的第一门专业课，是专业教育系列课程的入门课程，其对地方高校人才培养仍然具有较大的积极意义。通过专业导论课程的学习，能够促进</w:t>
      </w:r>
      <w:bookmarkStart w:id="0" w:name="_Hlk521074860"/>
      <w:r>
        <w:rPr>
          <w:rFonts w:hint="eastAsia" w:ascii="宋体" w:hAnsi="宋体" w:eastAsia="宋体" w:cs="宋体"/>
          <w:szCs w:val="21"/>
        </w:rPr>
        <w:t>学生坚定学好本专业、从事本专业工作的信念，</w:t>
      </w:r>
      <w:bookmarkEnd w:id="0"/>
      <w:r>
        <w:rPr>
          <w:rFonts w:hint="eastAsia" w:ascii="宋体" w:hAnsi="宋体" w:eastAsia="宋体" w:cs="宋体"/>
          <w:szCs w:val="21"/>
        </w:rPr>
        <w:t>使专业导论课程能够切实帮助专业教学质量和人才培养质量的提升，而不是为开设而开设，是在今后的教学改革实践中，需要引起重视的。</w:t>
      </w:r>
    </w:p>
    <w:p>
      <w:pPr>
        <w:spacing w:line="400" w:lineRule="exact"/>
        <w:rPr>
          <w:rFonts w:ascii="宋体" w:hAnsi="宋体" w:eastAsia="宋体"/>
          <w:sz w:val="24"/>
        </w:rPr>
      </w:pPr>
    </w:p>
    <w:p>
      <w:pPr>
        <w:spacing w:line="400" w:lineRule="exact"/>
        <w:ind w:firstLine="480"/>
        <w:rPr>
          <w:rFonts w:ascii="宋体" w:hAnsi="宋体" w:eastAsia="宋体"/>
          <w:sz w:val="24"/>
        </w:rPr>
      </w:pPr>
    </w:p>
    <w:p>
      <w:pPr>
        <w:spacing w:line="400" w:lineRule="exact"/>
        <w:rPr>
          <w:rFonts w:ascii="宋体" w:hAnsi="宋体" w:eastAsia="宋体" w:cs="宋体"/>
          <w:b/>
          <w:szCs w:val="21"/>
        </w:rPr>
      </w:pPr>
      <w:r>
        <w:rPr>
          <w:rFonts w:hint="eastAsia" w:ascii="宋体" w:hAnsi="宋体" w:eastAsia="宋体" w:cs="宋体"/>
          <w:b/>
          <w:szCs w:val="21"/>
        </w:rPr>
        <w:t>参考文献：</w:t>
      </w:r>
    </w:p>
    <w:p>
      <w:pPr>
        <w:spacing w:line="400" w:lineRule="exact"/>
        <w:rPr>
          <w:rFonts w:ascii="宋体" w:hAnsi="宋体" w:eastAsia="宋体" w:cs="宋体"/>
          <w:szCs w:val="21"/>
        </w:rPr>
      </w:pPr>
      <w:r>
        <w:rPr>
          <w:rFonts w:hint="eastAsia" w:ascii="宋体" w:hAnsi="宋体" w:eastAsia="宋体" w:cs="宋体"/>
          <w:szCs w:val="21"/>
        </w:rPr>
        <w:t>[1] 付冰冰，吴疆鄂.专业导论课程的教学改革与实践探索——以化学相关专业为例[J].化工高等教育，2015</w:t>
      </w:r>
      <w:r>
        <w:rPr>
          <w:rFonts w:hint="eastAsia" w:ascii="宋体" w:hAnsi="宋体" w:eastAsia="宋体" w:cs="宋体"/>
          <w:szCs w:val="21"/>
          <w:lang w:eastAsia="zh-CN"/>
        </w:rPr>
        <w:t>，</w:t>
      </w:r>
      <w:r>
        <w:rPr>
          <w:rFonts w:hint="eastAsia" w:ascii="宋体" w:hAnsi="宋体" w:eastAsia="宋体" w:cs="宋体"/>
          <w:szCs w:val="21"/>
        </w:rPr>
        <w:t>（2）：101-105.</w:t>
      </w:r>
    </w:p>
    <w:p>
      <w:pPr>
        <w:spacing w:line="400" w:lineRule="exact"/>
        <w:rPr>
          <w:rFonts w:ascii="宋体" w:hAnsi="宋体" w:eastAsia="宋体" w:cs="宋体"/>
          <w:szCs w:val="21"/>
        </w:rPr>
      </w:pPr>
      <w:r>
        <w:rPr>
          <w:rFonts w:hint="eastAsia" w:ascii="宋体" w:hAnsi="宋体" w:eastAsia="宋体" w:cs="宋体"/>
          <w:szCs w:val="21"/>
        </w:rPr>
        <w:t>[2] 王晓晖.大学专业导论课开设的目标探析[J].高教论坛，2013</w:t>
      </w:r>
      <w:r>
        <w:rPr>
          <w:rFonts w:hint="eastAsia" w:ascii="宋体" w:hAnsi="宋体" w:eastAsia="宋体" w:cs="宋体"/>
          <w:szCs w:val="21"/>
          <w:lang w:eastAsia="zh-CN"/>
        </w:rPr>
        <w:t>，</w:t>
      </w:r>
      <w:r>
        <w:rPr>
          <w:rFonts w:hint="eastAsia" w:ascii="宋体" w:hAnsi="宋体" w:eastAsia="宋体" w:cs="宋体"/>
          <w:szCs w:val="21"/>
        </w:rPr>
        <w:t>（12）：69-71.</w:t>
      </w:r>
    </w:p>
    <w:p>
      <w:pPr>
        <w:spacing w:line="400" w:lineRule="exact"/>
        <w:rPr>
          <w:rFonts w:ascii="宋体" w:hAnsi="宋体" w:eastAsia="宋体" w:cs="宋体"/>
          <w:szCs w:val="21"/>
        </w:rPr>
      </w:pPr>
      <w:r>
        <w:rPr>
          <w:rFonts w:hint="eastAsia" w:ascii="宋体" w:hAnsi="宋体" w:eastAsia="宋体" w:cs="宋体"/>
          <w:szCs w:val="21"/>
        </w:rPr>
        <w:t>[3] 朱福兴，李惠娟，李莉.高校增设“学科与专业导论”课程的探索与展望[J].常熟理工学院学报（教育科学），2011</w:t>
      </w:r>
      <w:r>
        <w:rPr>
          <w:rFonts w:hint="eastAsia" w:ascii="宋体" w:hAnsi="宋体" w:eastAsia="宋体" w:cs="宋体"/>
          <w:szCs w:val="21"/>
          <w:lang w:eastAsia="zh-CN"/>
        </w:rPr>
        <w:t>，</w:t>
      </w:r>
      <w:r>
        <w:rPr>
          <w:rFonts w:hint="eastAsia" w:ascii="宋体" w:hAnsi="宋体" w:eastAsia="宋体" w:cs="宋体"/>
          <w:szCs w:val="21"/>
        </w:rPr>
        <w:t>（12）：33-36.</w:t>
      </w:r>
    </w:p>
    <w:p>
      <w:pPr>
        <w:spacing w:line="400" w:lineRule="exact"/>
        <w:rPr>
          <w:rFonts w:ascii="宋体" w:hAnsi="宋体" w:eastAsia="宋体" w:cs="宋体"/>
          <w:szCs w:val="21"/>
        </w:rPr>
      </w:pPr>
      <w:r>
        <w:rPr>
          <w:rFonts w:hint="eastAsia" w:ascii="宋体" w:hAnsi="宋体" w:eastAsia="宋体" w:cs="宋体"/>
          <w:szCs w:val="21"/>
        </w:rPr>
        <w:t>[4] 李莉.导论课程在专业教学体系中的定位与作用[J].集美大学学报，2013</w:t>
      </w:r>
      <w:r>
        <w:rPr>
          <w:rFonts w:hint="eastAsia" w:ascii="宋体" w:hAnsi="宋体" w:eastAsia="宋体" w:cs="宋体"/>
          <w:szCs w:val="21"/>
          <w:lang w:eastAsia="zh-CN"/>
        </w:rPr>
        <w:t>，</w:t>
      </w:r>
      <w:r>
        <w:rPr>
          <w:rFonts w:hint="eastAsia" w:ascii="宋体" w:hAnsi="宋体" w:eastAsia="宋体" w:cs="宋体"/>
          <w:szCs w:val="21"/>
        </w:rPr>
        <w:t>（2）：117-120.</w:t>
      </w:r>
    </w:p>
    <w:p>
      <w:pPr>
        <w:spacing w:line="400" w:lineRule="exact"/>
        <w:rPr>
          <w:rFonts w:ascii="宋体" w:hAnsi="宋体" w:eastAsia="宋体" w:cs="宋体"/>
          <w:szCs w:val="21"/>
        </w:rPr>
      </w:pPr>
      <w:r>
        <w:rPr>
          <w:rFonts w:hint="eastAsia" w:ascii="宋体" w:hAnsi="宋体" w:eastAsia="宋体" w:cs="宋体"/>
          <w:szCs w:val="21"/>
        </w:rPr>
        <w:t>[5] 杨善林，潘轶山.专业导论课——一种全新而有效的大学新生思想教育方法[J].合肥工业大学学报（社会科学版），2004</w:t>
      </w:r>
      <w:r>
        <w:rPr>
          <w:rFonts w:hint="eastAsia" w:ascii="宋体" w:hAnsi="宋体" w:eastAsia="宋体" w:cs="宋体"/>
          <w:szCs w:val="21"/>
          <w:lang w:eastAsia="zh-CN"/>
        </w:rPr>
        <w:t>，</w:t>
      </w:r>
      <w:r>
        <w:rPr>
          <w:rFonts w:hint="eastAsia" w:ascii="宋体" w:hAnsi="宋体" w:eastAsia="宋体" w:cs="宋体"/>
          <w:szCs w:val="21"/>
        </w:rPr>
        <w:t>（8）：1-3.</w:t>
      </w:r>
    </w:p>
    <w:p>
      <w:pPr>
        <w:spacing w:line="400" w:lineRule="exact"/>
        <w:rPr>
          <w:rFonts w:ascii="宋体" w:hAnsi="宋体" w:eastAsia="宋体" w:cs="宋体"/>
          <w:szCs w:val="21"/>
        </w:rPr>
      </w:pPr>
      <w:r>
        <w:rPr>
          <w:rFonts w:hint="eastAsia" w:ascii="宋体" w:hAnsi="宋体" w:eastAsia="宋体" w:cs="宋体"/>
          <w:szCs w:val="21"/>
        </w:rPr>
        <w:t>[6] 钟启泉.现代课程论[M].上海：上海教育出版社，2015:389.</w:t>
      </w:r>
    </w:p>
    <w:p>
      <w:pPr>
        <w:spacing w:line="400" w:lineRule="exact"/>
        <w:rPr>
          <w:rFonts w:ascii="宋体" w:hAnsi="宋体" w:eastAsia="宋体" w:cs="宋体"/>
          <w:szCs w:val="21"/>
        </w:rPr>
      </w:pPr>
      <w:r>
        <w:rPr>
          <w:rFonts w:hint="eastAsia" w:ascii="宋体" w:hAnsi="宋体" w:eastAsia="宋体" w:cs="宋体"/>
          <w:szCs w:val="21"/>
        </w:rPr>
        <w:t>[7] 戴红宇，刘小梅.论地方高校应用型转变的三个层面[J]．三明学院学报，2017</w:t>
      </w:r>
      <w:r>
        <w:rPr>
          <w:rFonts w:hint="eastAsia" w:ascii="宋体" w:hAnsi="宋体" w:eastAsia="宋体" w:cs="宋体"/>
          <w:szCs w:val="21"/>
          <w:lang w:eastAsia="zh-CN"/>
        </w:rPr>
        <w:t>，</w:t>
      </w:r>
      <w:r>
        <w:rPr>
          <w:rFonts w:hint="eastAsia" w:ascii="宋体" w:hAnsi="宋体" w:eastAsia="宋体" w:cs="宋体"/>
          <w:szCs w:val="21"/>
        </w:rPr>
        <w:t>（1）:91-95．</w:t>
      </w:r>
    </w:p>
    <w:p>
      <w:pPr>
        <w:spacing w:line="360" w:lineRule="auto"/>
        <w:rPr>
          <w:rFonts w:ascii="宋体" w:hAnsi="宋体" w:eastAsia="宋体"/>
          <w:sz w:val="24"/>
        </w:rPr>
      </w:pPr>
    </w:p>
    <w:p>
      <w:pPr>
        <w:spacing w:line="360" w:lineRule="auto"/>
        <w:rPr>
          <w:rFonts w:ascii="宋体" w:hAnsi="宋体" w:eastAsia="宋体"/>
          <w:sz w:val="24"/>
        </w:rPr>
      </w:pPr>
    </w:p>
    <w:p>
      <w:pPr>
        <w:spacing w:line="360" w:lineRule="auto"/>
        <w:rPr>
          <w:rFonts w:ascii="宋体" w:hAnsi="宋体" w:eastAsia="宋体"/>
          <w:sz w:val="24"/>
        </w:rPr>
      </w:pPr>
    </w:p>
    <w:p>
      <w:pPr>
        <w:spacing w:line="360" w:lineRule="auto"/>
        <w:rPr>
          <w:rFonts w:ascii="宋体" w:hAnsi="宋体" w:eastAsia="宋体"/>
          <w:sz w:val="24"/>
        </w:rPr>
      </w:pPr>
    </w:p>
    <w:p>
      <w:pPr>
        <w:spacing w:line="360" w:lineRule="auto"/>
        <w:rPr>
          <w:rFonts w:ascii="宋体" w:hAnsi="宋体" w:eastAsia="宋体"/>
          <w:sz w:val="24"/>
        </w:rPr>
      </w:pPr>
    </w:p>
    <w:p>
      <w:pPr>
        <w:spacing w:line="360" w:lineRule="auto"/>
        <w:rPr>
          <w:rFonts w:ascii="宋体" w:hAnsi="宋体" w:eastAsia="宋体"/>
          <w:sz w:val="24"/>
        </w:rPr>
      </w:pPr>
    </w:p>
    <w:p>
      <w:pPr>
        <w:spacing w:line="360" w:lineRule="auto"/>
        <w:rPr>
          <w:rFonts w:ascii="宋体" w:hAnsi="宋体" w:eastAsia="宋体"/>
          <w:sz w:val="24"/>
        </w:rPr>
      </w:pPr>
    </w:p>
    <w:p>
      <w:pPr>
        <w:spacing w:line="360" w:lineRule="auto"/>
        <w:rPr>
          <w:rFonts w:ascii="宋体" w:hAnsi="宋体" w:eastAsia="宋体"/>
          <w:sz w:val="24"/>
        </w:rPr>
      </w:pPr>
    </w:p>
    <w:p>
      <w:pPr>
        <w:spacing w:line="360" w:lineRule="auto"/>
        <w:rPr>
          <w:rFonts w:ascii="宋体" w:hAnsi="宋体" w:eastAsia="宋体"/>
          <w:sz w:val="24"/>
        </w:rPr>
      </w:pPr>
    </w:p>
    <w:p>
      <w:pPr>
        <w:spacing w:line="360" w:lineRule="auto"/>
        <w:rPr>
          <w:rFonts w:ascii="宋体" w:hAnsi="宋体" w:eastAsia="宋体"/>
          <w:sz w:val="24"/>
        </w:rPr>
      </w:pPr>
    </w:p>
    <w:p>
      <w:pPr>
        <w:spacing w:line="360" w:lineRule="auto"/>
        <w:rPr>
          <w:rFonts w:ascii="宋体" w:hAnsi="宋体" w:eastAsia="宋体"/>
          <w:sz w:val="24"/>
        </w:rPr>
      </w:pPr>
    </w:p>
    <w:p>
      <w:pPr>
        <w:spacing w:line="360" w:lineRule="auto"/>
        <w:rPr>
          <w:rFonts w:ascii="宋体" w:hAnsi="宋体" w:eastAsia="宋体"/>
          <w:sz w:val="24"/>
        </w:rPr>
      </w:pPr>
    </w:p>
    <w:p>
      <w:pPr>
        <w:spacing w:line="360" w:lineRule="auto"/>
        <w:rPr>
          <w:rFonts w:ascii="宋体" w:hAnsi="宋体" w:eastAsia="宋体"/>
          <w:sz w:val="24"/>
        </w:rPr>
      </w:pPr>
    </w:p>
    <w:p>
      <w:pPr>
        <w:spacing w:line="360" w:lineRule="auto"/>
        <w:rPr>
          <w:rFonts w:ascii="宋体" w:hAnsi="宋体" w:eastAsia="宋体"/>
          <w:sz w:val="24"/>
        </w:rPr>
      </w:pPr>
    </w:p>
    <w:p>
      <w:pPr>
        <w:spacing w:line="360" w:lineRule="auto"/>
        <w:rPr>
          <w:rFonts w:ascii="宋体" w:hAnsi="宋体" w:eastAsia="宋体"/>
          <w:sz w:val="24"/>
        </w:rPr>
      </w:pPr>
    </w:p>
    <w:p>
      <w:pPr>
        <w:spacing w:line="360" w:lineRule="auto"/>
        <w:rPr>
          <w:rFonts w:ascii="宋体" w:hAnsi="宋体" w:eastAsia="宋体"/>
          <w:sz w:val="24"/>
        </w:rPr>
      </w:pPr>
    </w:p>
    <w:p>
      <w:pPr>
        <w:spacing w:line="360" w:lineRule="auto"/>
        <w:rPr>
          <w:rFonts w:hint="eastAsia" w:ascii="宋体" w:hAnsi="宋体" w:eastAsia="宋体"/>
          <w:sz w:val="24"/>
        </w:rPr>
      </w:pPr>
    </w:p>
    <w:p>
      <w:pPr>
        <w:spacing w:line="360" w:lineRule="auto"/>
        <w:jc w:val="center"/>
        <w:rPr>
          <w:rFonts w:ascii="黑体" w:hAnsi="黑体" w:eastAsia="黑体" w:cs="黑体"/>
          <w:b/>
          <w:kern w:val="0"/>
          <w:sz w:val="32"/>
        </w:rPr>
      </w:pPr>
      <w:r>
        <w:rPr>
          <w:rFonts w:ascii="黑体" w:hAnsi="黑体" w:eastAsia="黑体" w:cs="黑体"/>
          <w:b/>
          <w:kern w:val="0"/>
          <w:sz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黑体" w:hAnsi="黑体" w:eastAsia="黑体" w:cs="黑体"/>
          <w:b/>
          <w:kern w:val="0"/>
          <w:sz w:val="32"/>
        </w:rPr>
        <w:instrText xml:space="preserve">ADDIN CNKISM.UserStyle</w:instrText>
      </w:r>
      <w:r>
        <w:rPr>
          <w:rFonts w:ascii="黑体" w:hAnsi="黑体" w:eastAsia="黑体" w:cs="黑体"/>
          <w:b/>
          <w:kern w:val="0"/>
          <w:sz w:val="32"/>
        </w:rPr>
        <w:fldChar w:fldCharType="end"/>
      </w:r>
    </w:p>
    <w:p>
      <w:pPr>
        <w:spacing w:line="360" w:lineRule="auto"/>
        <w:rPr>
          <w:rFonts w:ascii="宋体" w:hAnsi="宋体" w:eastAsia="宋体"/>
          <w:sz w:val="24"/>
        </w:rPr>
      </w:pPr>
    </w:p>
    <w:p>
      <w:pPr>
        <w:spacing w:line="380" w:lineRule="atLeast"/>
        <w:jc w:val="center"/>
        <w:rPr>
          <w:rFonts w:ascii="Times New Roman" w:hAnsi="Times New Roman" w:eastAsia="宋体" w:cs="Times New Roman"/>
          <w:b/>
          <w:bCs/>
          <w:kern w:val="0"/>
          <w:sz w:val="32"/>
          <w:szCs w:val="32"/>
        </w:rPr>
      </w:pPr>
      <w:r>
        <w:rPr>
          <w:rFonts w:hint="eastAsia" w:ascii="Times New Roman" w:hAnsi="Times New Roman" w:eastAsia="宋体" w:cs="Times New Roman"/>
          <w:b/>
          <w:bCs/>
          <w:kern w:val="0"/>
          <w:sz w:val="32"/>
          <w:szCs w:val="32"/>
        </w:rPr>
        <w:t xml:space="preserve">Exploration and Reflection on Teaching of Specialty Orientation Course in Local </w:t>
      </w:r>
      <w:r>
        <w:rPr>
          <w:rFonts w:ascii="Times New Roman" w:hAnsi="Times New Roman" w:eastAsia="宋体" w:cs="Times New Roman"/>
          <w:b/>
          <w:bCs/>
          <w:kern w:val="0"/>
          <w:sz w:val="32"/>
          <w:szCs w:val="32"/>
        </w:rPr>
        <w:t xml:space="preserve">Colleges and </w:t>
      </w:r>
      <w:r>
        <w:rPr>
          <w:rFonts w:hint="eastAsia" w:ascii="Times New Roman" w:hAnsi="Times New Roman" w:eastAsia="宋体" w:cs="Times New Roman"/>
          <w:b/>
          <w:bCs/>
          <w:kern w:val="0"/>
          <w:sz w:val="32"/>
          <w:szCs w:val="32"/>
        </w:rPr>
        <w:t>Universities</w:t>
      </w:r>
    </w:p>
    <w:p>
      <w:pPr>
        <w:spacing w:line="360" w:lineRule="auto"/>
        <w:jc w:val="center"/>
        <w:rPr>
          <w:rFonts w:hint="eastAsia" w:ascii="DLF-3-0-970161695+ZKdGeO-56" w:hAnsi="DLF-3-0-970161695+ZKdGeO-56"/>
          <w:color w:val="231F20"/>
        </w:rPr>
      </w:pPr>
    </w:p>
    <w:p>
      <w:pPr>
        <w:spacing w:line="38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YU S</w:t>
      </w:r>
      <w:r>
        <w:rPr>
          <w:rFonts w:hint="eastAsia" w:ascii="Times New Roman" w:hAnsi="Times New Roman" w:eastAsia="宋体" w:cs="Times New Roman"/>
          <w:kern w:val="0"/>
          <w:szCs w:val="21"/>
        </w:rPr>
        <w:t xml:space="preserve">huimei, </w:t>
      </w:r>
      <w:r>
        <w:rPr>
          <w:rFonts w:ascii="Times New Roman" w:hAnsi="Times New Roman" w:eastAsia="宋体" w:cs="Times New Roman"/>
          <w:kern w:val="0"/>
          <w:szCs w:val="21"/>
        </w:rPr>
        <w:t>DAI Hongyu</w:t>
      </w:r>
      <w:r>
        <w:rPr>
          <w:rFonts w:ascii="Times New Roman" w:hAnsi="Times New Roman" w:eastAsia="宋体" w:cs="Times New Roman"/>
          <w:kern w:val="0"/>
          <w:szCs w:val="21"/>
        </w:rPr>
        <w:br w:type="textWrapping"/>
      </w:r>
      <w:r>
        <w:rPr>
          <w:rFonts w:ascii="Times New Roman" w:hAnsi="Times New Roman" w:eastAsia="宋体" w:cs="Times New Roman"/>
          <w:kern w:val="0"/>
          <w:szCs w:val="21"/>
        </w:rPr>
        <w:t>(College of Art and Design, Sanming University, Sanming, Fujian 365004, China)</w:t>
      </w:r>
    </w:p>
    <w:p>
      <w:pPr>
        <w:spacing w:line="380" w:lineRule="atLeast"/>
        <w:jc w:val="center"/>
        <w:rPr>
          <w:rFonts w:ascii="Times New Roman" w:hAnsi="Times New Roman" w:eastAsia="宋体" w:cs="Times New Roman"/>
          <w:kern w:val="0"/>
          <w:szCs w:val="21"/>
        </w:rPr>
      </w:pPr>
    </w:p>
    <w:p>
      <w:pPr>
        <w:spacing w:line="360" w:lineRule="auto"/>
        <w:ind w:firstLine="420" w:firstLineChars="200"/>
        <w:rPr>
          <w:rFonts w:ascii="Times New Roman" w:hAnsi="Times New Roman" w:eastAsia="宋体" w:cs="Times New Roman"/>
          <w:kern w:val="0"/>
          <w:szCs w:val="21"/>
        </w:rPr>
      </w:pPr>
      <w:r>
        <w:rPr>
          <w:rFonts w:ascii="Times New Roman" w:hAnsi="Times New Roman"/>
          <w:b/>
          <w:szCs w:val="21"/>
        </w:rPr>
        <w:t>Abstract:</w:t>
      </w:r>
      <w:r>
        <w:rPr>
          <w:rFonts w:hint="eastAsia" w:ascii="Times New Roman" w:hAnsi="Times New Roman"/>
          <w:b/>
          <w:szCs w:val="21"/>
        </w:rPr>
        <w:t xml:space="preserve"> </w:t>
      </w:r>
      <w:r>
        <w:rPr>
          <w:rFonts w:ascii="Times New Roman" w:hAnsi="Times New Roman" w:eastAsia="宋体" w:cs="Times New Roman"/>
          <w:kern w:val="0"/>
          <w:szCs w:val="21"/>
        </w:rPr>
        <w:t xml:space="preserve">As the first </w:t>
      </w:r>
      <w:r>
        <w:rPr>
          <w:rFonts w:hint="eastAsia" w:ascii="Times New Roman" w:hAnsi="Times New Roman" w:eastAsia="宋体" w:cs="Times New Roman"/>
          <w:kern w:val="0"/>
          <w:szCs w:val="21"/>
        </w:rPr>
        <w:t>fundamental</w:t>
      </w:r>
      <w:r>
        <w:rPr>
          <w:rFonts w:ascii="Times New Roman" w:hAnsi="Times New Roman" w:eastAsia="宋体" w:cs="Times New Roman"/>
          <w:kern w:val="0"/>
          <w:szCs w:val="21"/>
        </w:rPr>
        <w:t xml:space="preserve"> course in the </w:t>
      </w:r>
      <w:r>
        <w:rPr>
          <w:rFonts w:hint="eastAsia" w:ascii="Times New Roman" w:hAnsi="Times New Roman" w:eastAsia="宋体" w:cs="Times New Roman"/>
          <w:kern w:val="0"/>
          <w:szCs w:val="21"/>
        </w:rPr>
        <w:t>college</w:t>
      </w:r>
      <w:r>
        <w:rPr>
          <w:rFonts w:ascii="Times New Roman" w:hAnsi="Times New Roman" w:eastAsia="宋体" w:cs="Times New Roman"/>
          <w:kern w:val="0"/>
          <w:szCs w:val="21"/>
        </w:rPr>
        <w:t xml:space="preserve"> year</w:t>
      </w:r>
      <w:r>
        <w:rPr>
          <w:rFonts w:hint="eastAsia" w:ascii="Times New Roman" w:hAnsi="Times New Roman" w:eastAsia="宋体" w:cs="Times New Roman"/>
          <w:kern w:val="0"/>
          <w:szCs w:val="21"/>
        </w:rPr>
        <w:t>s</w:t>
      </w:r>
      <w:r>
        <w:rPr>
          <w:rFonts w:ascii="Times New Roman" w:hAnsi="Times New Roman" w:eastAsia="宋体" w:cs="Times New Roman"/>
          <w:kern w:val="0"/>
          <w:szCs w:val="21"/>
        </w:rPr>
        <w:t xml:space="preserve">, the </w:t>
      </w:r>
      <w:r>
        <w:rPr>
          <w:rFonts w:hint="eastAsia" w:ascii="Times New Roman" w:hAnsi="Times New Roman" w:eastAsia="宋体" w:cs="Times New Roman"/>
          <w:kern w:val="0"/>
          <w:szCs w:val="21"/>
        </w:rPr>
        <w:t>Specialty Orientation Course</w:t>
      </w:r>
      <w:r>
        <w:rPr>
          <w:rFonts w:ascii="Times New Roman" w:hAnsi="Times New Roman" w:eastAsia="宋体" w:cs="Times New Roman"/>
          <w:kern w:val="0"/>
          <w:szCs w:val="21"/>
        </w:rPr>
        <w:t xml:space="preserve"> has </w:t>
      </w:r>
      <w:r>
        <w:rPr>
          <w:rFonts w:hint="eastAsia" w:ascii="Times New Roman" w:hAnsi="Times New Roman" w:eastAsia="宋体" w:cs="Times New Roman"/>
          <w:kern w:val="0"/>
          <w:szCs w:val="21"/>
        </w:rPr>
        <w:t>the function</w:t>
      </w:r>
      <w:r>
        <w:rPr>
          <w:rFonts w:ascii="Times New Roman" w:hAnsi="Times New Roman" w:eastAsia="宋体" w:cs="Times New Roman"/>
          <w:kern w:val="0"/>
          <w:szCs w:val="21"/>
        </w:rPr>
        <w:t xml:space="preserve"> of promot</w:t>
      </w:r>
      <w:r>
        <w:rPr>
          <w:rFonts w:hint="eastAsia" w:ascii="Times New Roman" w:hAnsi="Times New Roman" w:eastAsia="宋体" w:cs="Times New Roman"/>
          <w:kern w:val="0"/>
          <w:szCs w:val="21"/>
        </w:rPr>
        <w:t>ing</w:t>
      </w:r>
      <w:r>
        <w:rPr>
          <w:rFonts w:ascii="Times New Roman" w:hAnsi="Times New Roman" w:eastAsia="宋体" w:cs="Times New Roman"/>
          <w:kern w:val="0"/>
          <w:szCs w:val="21"/>
        </w:rPr>
        <w:t xml:space="preserve"> students to form </w:t>
      </w:r>
      <w:r>
        <w:rPr>
          <w:rFonts w:hint="eastAsia" w:ascii="Times New Roman" w:hAnsi="Times New Roman" w:eastAsia="宋体" w:cs="Times New Roman"/>
          <w:kern w:val="0"/>
          <w:szCs w:val="21"/>
        </w:rPr>
        <w:t>specialty</w:t>
      </w:r>
      <w:r>
        <w:rPr>
          <w:rFonts w:ascii="Times New Roman" w:hAnsi="Times New Roman" w:eastAsia="宋体" w:cs="Times New Roman"/>
          <w:kern w:val="0"/>
          <w:szCs w:val="21"/>
        </w:rPr>
        <w:t xml:space="preserve"> cognition and help</w:t>
      </w:r>
      <w:r>
        <w:rPr>
          <w:rFonts w:hint="eastAsia" w:ascii="Times New Roman" w:hAnsi="Times New Roman" w:eastAsia="宋体" w:cs="Times New Roman"/>
          <w:kern w:val="0"/>
          <w:szCs w:val="21"/>
        </w:rPr>
        <w:t>ing</w:t>
      </w:r>
      <w:r>
        <w:rPr>
          <w:rFonts w:ascii="Times New Roman" w:hAnsi="Times New Roman" w:eastAsia="宋体" w:cs="Times New Roman"/>
          <w:kern w:val="0"/>
          <w:szCs w:val="21"/>
        </w:rPr>
        <w:t xml:space="preserve"> students to cultivate their interest in learning. But in the practice of teaching in local colleges and universities, there </w:t>
      </w:r>
      <w:r>
        <w:rPr>
          <w:rFonts w:hint="eastAsia" w:ascii="Times New Roman" w:hAnsi="Times New Roman" w:eastAsia="宋体" w:cs="Times New Roman"/>
          <w:kern w:val="0"/>
          <w:szCs w:val="21"/>
        </w:rPr>
        <w:t>exist</w:t>
      </w:r>
      <w:r>
        <w:rPr>
          <w:rFonts w:ascii="Times New Roman" w:hAnsi="Times New Roman" w:eastAsia="宋体" w:cs="Times New Roman"/>
          <w:kern w:val="0"/>
          <w:szCs w:val="21"/>
        </w:rPr>
        <w:t xml:space="preserve"> some problems, such as the standard of </w:t>
      </w:r>
      <w:r>
        <w:rPr>
          <w:rFonts w:hint="eastAsia" w:ascii="Times New Roman" w:hAnsi="Times New Roman" w:eastAsia="宋体" w:cs="Times New Roman"/>
          <w:kern w:val="0"/>
          <w:szCs w:val="21"/>
        </w:rPr>
        <w:t>the course</w:t>
      </w:r>
      <w:r>
        <w:rPr>
          <w:rFonts w:ascii="Times New Roman" w:hAnsi="Times New Roman" w:eastAsia="宋体" w:cs="Times New Roman"/>
          <w:kern w:val="0"/>
          <w:szCs w:val="21"/>
        </w:rPr>
        <w:t xml:space="preserve"> is not standardized enough, the faculty is not perfect enough, and the assessment method is not reasonable enough. Under the requirement of the application</w:t>
      </w:r>
      <w:r>
        <w:rPr>
          <w:rFonts w:hint="eastAsia" w:ascii="Times New Roman" w:hAnsi="Times New Roman" w:eastAsia="宋体" w:cs="Times New Roman"/>
          <w:kern w:val="0"/>
          <w:szCs w:val="21"/>
        </w:rPr>
        <w:t>-oriented</w:t>
      </w:r>
      <w:r>
        <w:rPr>
          <w:rFonts w:ascii="Times New Roman" w:hAnsi="Times New Roman" w:eastAsia="宋体" w:cs="Times New Roman"/>
          <w:kern w:val="0"/>
          <w:szCs w:val="21"/>
        </w:rPr>
        <w:t xml:space="preserve"> transformation of local colleges and universities, the course should expand </w:t>
      </w:r>
      <w:r>
        <w:rPr>
          <w:rFonts w:hint="eastAsia" w:ascii="Times New Roman" w:hAnsi="Times New Roman" w:eastAsia="宋体" w:cs="Times New Roman"/>
          <w:kern w:val="0"/>
          <w:szCs w:val="21"/>
        </w:rPr>
        <w:t>its</w:t>
      </w:r>
      <w:r>
        <w:rPr>
          <w:rFonts w:ascii="Times New Roman" w:hAnsi="Times New Roman" w:eastAsia="宋体" w:cs="Times New Roman"/>
          <w:kern w:val="0"/>
          <w:szCs w:val="21"/>
        </w:rPr>
        <w:t xml:space="preserve"> connotation appropriately, improve the students’ understanding of the direction of professional career and the cognition of the training of applied talents, so as to further </w:t>
      </w:r>
      <w:r>
        <w:rPr>
          <w:rFonts w:hint="eastAsia" w:ascii="Times New Roman" w:hAnsi="Times New Roman" w:eastAsia="宋体" w:cs="Times New Roman"/>
          <w:kern w:val="0"/>
          <w:szCs w:val="21"/>
        </w:rPr>
        <w:t>enhance</w:t>
      </w:r>
      <w:r>
        <w:rPr>
          <w:rFonts w:ascii="Times New Roman" w:hAnsi="Times New Roman" w:eastAsia="宋体" w:cs="Times New Roman"/>
          <w:kern w:val="0"/>
          <w:szCs w:val="21"/>
        </w:rPr>
        <w:t xml:space="preserve"> the students’ </w:t>
      </w:r>
      <w:r>
        <w:rPr>
          <w:rFonts w:hint="eastAsia" w:ascii="Times New Roman" w:hAnsi="Times New Roman" w:eastAsia="宋体" w:cs="Times New Roman"/>
          <w:kern w:val="0"/>
          <w:szCs w:val="21"/>
        </w:rPr>
        <w:t>confidence</w:t>
      </w:r>
      <w:r>
        <w:rPr>
          <w:rFonts w:ascii="Times New Roman" w:hAnsi="Times New Roman" w:eastAsia="宋体" w:cs="Times New Roman"/>
          <w:kern w:val="0"/>
          <w:szCs w:val="21"/>
        </w:rPr>
        <w:t xml:space="preserve"> in the </w:t>
      </w:r>
      <w:r>
        <w:rPr>
          <w:rFonts w:hint="eastAsia" w:ascii="Times New Roman" w:hAnsi="Times New Roman" w:eastAsia="宋体" w:cs="Times New Roman"/>
          <w:kern w:val="0"/>
          <w:szCs w:val="21"/>
        </w:rPr>
        <w:t>specialty</w:t>
      </w:r>
      <w:r>
        <w:rPr>
          <w:rFonts w:ascii="Times New Roman" w:hAnsi="Times New Roman" w:eastAsia="宋体" w:cs="Times New Roman"/>
          <w:kern w:val="0"/>
          <w:szCs w:val="21"/>
        </w:rPr>
        <w:t xml:space="preserve"> and </w:t>
      </w:r>
      <w:r>
        <w:rPr>
          <w:rFonts w:hint="eastAsia" w:ascii="Times New Roman" w:hAnsi="Times New Roman" w:eastAsia="宋体" w:cs="Times New Roman"/>
          <w:kern w:val="0"/>
          <w:szCs w:val="21"/>
        </w:rPr>
        <w:t>the specialty-related career</w:t>
      </w:r>
      <w:r>
        <w:rPr>
          <w:rFonts w:ascii="Times New Roman" w:hAnsi="Times New Roman" w:eastAsia="宋体" w:cs="Times New Roman"/>
          <w:kern w:val="0"/>
          <w:szCs w:val="21"/>
        </w:rPr>
        <w:t>.</w:t>
      </w:r>
    </w:p>
    <w:p>
      <w:pPr>
        <w:spacing w:line="360" w:lineRule="auto"/>
        <w:rPr>
          <w:rFonts w:ascii="Times New Roman" w:hAnsi="Times New Roman" w:eastAsia="宋体" w:cs="Times New Roman"/>
          <w:szCs w:val="21"/>
        </w:rPr>
      </w:pPr>
      <w:r>
        <w:rPr>
          <w:rFonts w:ascii="Times New Roman" w:hAnsi="Times New Roman" w:cs="Times New Roman"/>
          <w:b/>
          <w:szCs w:val="21"/>
        </w:rPr>
        <w:t>Key words:</w:t>
      </w:r>
      <w:r>
        <w:rPr>
          <w:rFonts w:ascii="Times New Roman" w:hAnsi="Times New Roman" w:cs="Times New Roman"/>
          <w:color w:val="000000"/>
          <w:sz w:val="20"/>
          <w:szCs w:val="20"/>
        </w:rPr>
        <w:t xml:space="preserve"> </w:t>
      </w:r>
      <w:r>
        <w:rPr>
          <w:rFonts w:ascii="Times New Roman" w:hAnsi="Times New Roman" w:eastAsia="宋体" w:cs="Times New Roman"/>
          <w:kern w:val="0"/>
          <w:szCs w:val="21"/>
        </w:rPr>
        <w:t>specialty orientation course</w:t>
      </w:r>
      <w:r>
        <w:rPr>
          <w:rFonts w:ascii="Times New Roman" w:hAnsi="Times New Roman" w:cs="Times New Roman"/>
          <w:szCs w:val="21"/>
        </w:rPr>
        <w:t>; local colleges and universities;</w:t>
      </w:r>
      <w:r>
        <w:rPr>
          <w:rFonts w:ascii="Times New Roman" w:hAnsi="Times New Roman" w:eastAsia="宋体" w:cs="Times New Roman"/>
          <w:szCs w:val="21"/>
        </w:rPr>
        <w:t xml:space="preserve"> </w:t>
      </w:r>
      <w:r>
        <w:rPr>
          <w:rFonts w:ascii="Times New Roman" w:hAnsi="Times New Roman" w:eastAsia="宋体" w:cs="Times New Roman"/>
          <w:kern w:val="0"/>
          <w:szCs w:val="21"/>
        </w:rPr>
        <w:t>application</w:t>
      </w:r>
      <w:r>
        <w:rPr>
          <w:rFonts w:hint="eastAsia" w:ascii="Times New Roman" w:hAnsi="Times New Roman" w:eastAsia="宋体" w:cs="Times New Roman"/>
          <w:kern w:val="0"/>
          <w:szCs w:val="21"/>
        </w:rPr>
        <w:t>-oriented</w:t>
      </w:r>
      <w:r>
        <w:rPr>
          <w:rFonts w:ascii="Times New Roman" w:hAnsi="Times New Roman" w:eastAsia="宋体" w:cs="Times New Roman"/>
          <w:kern w:val="0"/>
          <w:szCs w:val="21"/>
        </w:rPr>
        <w:t xml:space="preserve"> transformation</w:t>
      </w:r>
    </w:p>
    <w:p>
      <w:pPr>
        <w:spacing w:line="360" w:lineRule="auto"/>
        <w:rPr>
          <w:rFonts w:hint="eastAsia" w:ascii="宋体" w:hAnsi="宋体" w:eastAsia="宋体"/>
          <w:sz w:val="24"/>
          <w:lang w:eastAsia="zh-CN"/>
        </w:rPr>
      </w:pPr>
      <w:r>
        <w:rPr>
          <w:rFonts w:hint="eastAsia" w:ascii="宋体" w:hAnsi="宋体" w:eastAsia="宋体"/>
          <w:sz w:val="24"/>
          <w:lang w:eastAsia="zh-CN"/>
        </w:rPr>
        <w:t>（责任编辑：范松楠）</w:t>
      </w:r>
    </w:p>
    <w:p>
      <w:pPr>
        <w:spacing w:line="360" w:lineRule="auto"/>
        <w:rPr>
          <w:rFonts w:hint="eastAsia" w:ascii="宋体" w:hAnsi="宋体" w:eastAsia="宋体"/>
          <w:sz w:val="24"/>
          <w:lang w:val="en-US" w:eastAsia="zh-CN"/>
        </w:rPr>
      </w:pPr>
      <w:r>
        <w:rPr>
          <w:rFonts w:hint="eastAsia" w:ascii="宋体" w:hAnsi="宋体" w:eastAsia="宋体"/>
          <w:sz w:val="24"/>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DLF-3-0-970161695+ZKdGeO-56">
    <w:altName w:val="Times New Roman"/>
    <w:panose1 w:val="00000000000000000000"/>
    <w:charset w:val="00"/>
    <w:family w:val="roman"/>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widowControl/>
        <w:rPr>
          <w:rFonts w:ascii="宋体" w:hAnsi="宋体" w:eastAsia="宋体" w:cs="宋体"/>
          <w:kern w:val="0"/>
          <w:sz w:val="18"/>
          <w:szCs w:val="18"/>
        </w:rPr>
      </w:pPr>
      <w:r>
        <w:rPr>
          <w:rStyle w:val="13"/>
        </w:rPr>
        <w:footnoteRef/>
      </w:r>
      <w:r>
        <w:t xml:space="preserve"> </w:t>
      </w:r>
      <w:r>
        <w:rPr>
          <w:rFonts w:hint="eastAsia" w:ascii="宋体" w:hAnsi="宋体" w:eastAsia="宋体" w:cs="宋体"/>
          <w:kern w:val="0"/>
          <w:sz w:val="18"/>
          <w:szCs w:val="18"/>
        </w:rPr>
        <w:t>收稿日期：</w:t>
      </w:r>
      <w:r>
        <w:rPr>
          <w:rFonts w:hint="eastAsia" w:ascii="宋体" w:hAnsi="宋体" w:eastAsia="宋体" w:cs="宋体"/>
          <w:kern w:val="0"/>
          <w:sz w:val="18"/>
          <w:szCs w:val="18"/>
          <w:lang w:val="en-US" w:eastAsia="zh-CN"/>
        </w:rPr>
        <w:t>2018</w:t>
      </w:r>
      <w:r>
        <w:rPr>
          <w:rFonts w:hint="eastAsia" w:ascii="宋体" w:hAnsi="宋体" w:eastAsia="宋体" w:cs="宋体"/>
          <w:kern w:val="0"/>
          <w:sz w:val="18"/>
          <w:szCs w:val="18"/>
        </w:rPr>
        <w:t>年</w:t>
      </w:r>
      <w:r>
        <w:rPr>
          <w:rFonts w:hint="eastAsia" w:ascii="宋体" w:hAnsi="宋体" w:eastAsia="宋体" w:cs="宋体"/>
          <w:kern w:val="0"/>
          <w:sz w:val="18"/>
          <w:szCs w:val="18"/>
          <w:lang w:val="en-US" w:eastAsia="zh-CN"/>
        </w:rPr>
        <w:t>12</w:t>
      </w:r>
      <w:r>
        <w:rPr>
          <w:rFonts w:hint="eastAsia" w:ascii="宋体" w:hAnsi="宋体" w:eastAsia="宋体" w:cs="宋体"/>
          <w:kern w:val="0"/>
          <w:sz w:val="18"/>
          <w:szCs w:val="18"/>
        </w:rPr>
        <w:t>月</w:t>
      </w:r>
      <w:r>
        <w:rPr>
          <w:rFonts w:hint="eastAsia" w:ascii="宋体" w:hAnsi="宋体" w:eastAsia="宋体" w:cs="宋体"/>
          <w:kern w:val="0"/>
          <w:sz w:val="18"/>
          <w:szCs w:val="18"/>
          <w:lang w:val="en-US" w:eastAsia="zh-CN"/>
        </w:rPr>
        <w:t>17</w:t>
      </w:r>
      <w:r>
        <w:rPr>
          <w:rFonts w:hint="eastAsia" w:ascii="宋体" w:hAnsi="宋体" w:eastAsia="宋体" w:cs="宋体"/>
          <w:kern w:val="0"/>
          <w:sz w:val="18"/>
          <w:szCs w:val="18"/>
        </w:rPr>
        <w:t>日</w:t>
      </w:r>
    </w:p>
    <w:p>
      <w:pPr>
        <w:widowControl/>
        <w:ind w:firstLine="180" w:firstLineChars="100"/>
        <w:rPr>
          <w:rFonts w:ascii="宋体" w:hAnsi="宋体" w:eastAsia="宋体" w:cs="宋体"/>
          <w:color w:val="000000"/>
          <w:kern w:val="0"/>
          <w:sz w:val="18"/>
          <w:szCs w:val="18"/>
        </w:rPr>
      </w:pPr>
      <w:r>
        <w:rPr>
          <w:rFonts w:hint="eastAsia" w:ascii="宋体" w:hAnsi="宋体" w:eastAsia="宋体" w:cs="宋体"/>
          <w:kern w:val="0"/>
          <w:sz w:val="18"/>
          <w:szCs w:val="18"/>
        </w:rPr>
        <w:t>作者简介</w:t>
      </w:r>
      <w:r>
        <w:rPr>
          <w:rFonts w:hint="eastAsia" w:ascii="宋体" w:hAnsi="宋体" w:eastAsia="宋体" w:cs="宋体"/>
          <w:color w:val="000000"/>
          <w:kern w:val="0"/>
          <w:sz w:val="18"/>
          <w:szCs w:val="18"/>
        </w:rPr>
        <w:t>：余水妹（1989-），女，福建三明人，研究实习员，硕士，</w:t>
      </w:r>
      <w:r>
        <w:rPr>
          <w:rFonts w:hint="eastAsia" w:ascii="宋体" w:hAnsi="宋体" w:eastAsia="宋体" w:cs="宋体"/>
          <w:color w:val="000000"/>
          <w:kern w:val="0"/>
          <w:sz w:val="18"/>
          <w:szCs w:val="18"/>
          <w:lang w:eastAsia="zh-CN"/>
        </w:rPr>
        <w:t>主要</w:t>
      </w:r>
      <w:r>
        <w:rPr>
          <w:rFonts w:hint="eastAsia" w:ascii="宋体" w:hAnsi="宋体" w:eastAsia="宋体" w:cs="宋体"/>
          <w:color w:val="000000"/>
          <w:kern w:val="0"/>
          <w:sz w:val="18"/>
          <w:szCs w:val="18"/>
        </w:rPr>
        <w:t>研究方向：高等教育管理。</w:t>
      </w:r>
    </w:p>
    <w:p>
      <w:pPr>
        <w:widowControl/>
        <w:ind w:firstLine="180" w:firstLineChars="100"/>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戴红宇（1987-），男，福建莆田人，助理研究员，硕士，</w:t>
      </w:r>
      <w:r>
        <w:rPr>
          <w:rFonts w:hint="eastAsia" w:ascii="宋体" w:hAnsi="宋体" w:eastAsia="宋体" w:cs="宋体"/>
          <w:color w:val="000000"/>
          <w:kern w:val="0"/>
          <w:sz w:val="18"/>
          <w:szCs w:val="18"/>
          <w:lang w:eastAsia="zh-CN"/>
        </w:rPr>
        <w:t>主要</w:t>
      </w:r>
      <w:bookmarkStart w:id="1" w:name="_GoBack"/>
      <w:bookmarkEnd w:id="1"/>
      <w:r>
        <w:rPr>
          <w:rFonts w:hint="eastAsia" w:ascii="宋体" w:hAnsi="宋体" w:eastAsia="宋体" w:cs="宋体"/>
          <w:color w:val="000000"/>
          <w:kern w:val="0"/>
          <w:sz w:val="18"/>
          <w:szCs w:val="18"/>
        </w:rPr>
        <w:t>研究方向：教育学原理，高等教育管理。</w:t>
      </w:r>
    </w:p>
    <w:p>
      <w:pPr>
        <w:widowControl/>
        <w:ind w:firstLine="180" w:firstLineChars="100"/>
        <w:rPr>
          <w:rFonts w:ascii="宋体" w:hAnsi="宋体" w:eastAsia="宋体" w:cs="宋体"/>
          <w:sz w:val="18"/>
          <w:szCs w:val="18"/>
        </w:rPr>
      </w:pPr>
      <w:r>
        <w:rPr>
          <w:rFonts w:hint="eastAsia" w:ascii="宋体" w:hAnsi="宋体" w:eastAsia="宋体" w:cs="宋体"/>
          <w:color w:val="000000"/>
          <w:kern w:val="0"/>
          <w:sz w:val="18"/>
          <w:szCs w:val="18"/>
        </w:rPr>
        <w:t>基金项目：国家级“艺术设计专业综合改革”项目(ZL2012ZG1)</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rPr>
        <w:t>福建省2018年省级教育教学改革项目“基于创新创业教育的地方高校设计类专业教学评价改革研究”（FBJG20180316）。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4C8D"/>
    <w:rsid w:val="00002572"/>
    <w:rsid w:val="00062733"/>
    <w:rsid w:val="000E039B"/>
    <w:rsid w:val="000F4E3F"/>
    <w:rsid w:val="001023C3"/>
    <w:rsid w:val="00116536"/>
    <w:rsid w:val="00141357"/>
    <w:rsid w:val="00186A80"/>
    <w:rsid w:val="00196AD6"/>
    <w:rsid w:val="001A47F6"/>
    <w:rsid w:val="001A68E6"/>
    <w:rsid w:val="001E086A"/>
    <w:rsid w:val="001E3442"/>
    <w:rsid w:val="001E3961"/>
    <w:rsid w:val="001E6969"/>
    <w:rsid w:val="001F5B26"/>
    <w:rsid w:val="001F6419"/>
    <w:rsid w:val="00203A10"/>
    <w:rsid w:val="00261A5E"/>
    <w:rsid w:val="00265EBB"/>
    <w:rsid w:val="00272320"/>
    <w:rsid w:val="0028183D"/>
    <w:rsid w:val="00297C4F"/>
    <w:rsid w:val="002C7436"/>
    <w:rsid w:val="002D12F9"/>
    <w:rsid w:val="00317D64"/>
    <w:rsid w:val="00331649"/>
    <w:rsid w:val="00331AFC"/>
    <w:rsid w:val="00341AB3"/>
    <w:rsid w:val="00374E60"/>
    <w:rsid w:val="00391503"/>
    <w:rsid w:val="003A3616"/>
    <w:rsid w:val="003A6380"/>
    <w:rsid w:val="003F483E"/>
    <w:rsid w:val="004231EB"/>
    <w:rsid w:val="00427ED2"/>
    <w:rsid w:val="0043166A"/>
    <w:rsid w:val="00443510"/>
    <w:rsid w:val="00443DED"/>
    <w:rsid w:val="00451C8B"/>
    <w:rsid w:val="004641DD"/>
    <w:rsid w:val="004865D1"/>
    <w:rsid w:val="004A0F8E"/>
    <w:rsid w:val="004B0ACC"/>
    <w:rsid w:val="004F1718"/>
    <w:rsid w:val="00514593"/>
    <w:rsid w:val="00526A9F"/>
    <w:rsid w:val="005339E8"/>
    <w:rsid w:val="00572985"/>
    <w:rsid w:val="005A242B"/>
    <w:rsid w:val="005A395B"/>
    <w:rsid w:val="005B1CA1"/>
    <w:rsid w:val="005B2DF1"/>
    <w:rsid w:val="005F2A78"/>
    <w:rsid w:val="00601ED9"/>
    <w:rsid w:val="0060479E"/>
    <w:rsid w:val="00627F7A"/>
    <w:rsid w:val="00631E37"/>
    <w:rsid w:val="00634F77"/>
    <w:rsid w:val="00641C13"/>
    <w:rsid w:val="006603E7"/>
    <w:rsid w:val="006609CA"/>
    <w:rsid w:val="00664FEE"/>
    <w:rsid w:val="006656E2"/>
    <w:rsid w:val="00667F53"/>
    <w:rsid w:val="006C6FC2"/>
    <w:rsid w:val="006C73AC"/>
    <w:rsid w:val="006E3589"/>
    <w:rsid w:val="00766D50"/>
    <w:rsid w:val="007B6729"/>
    <w:rsid w:val="007C2F92"/>
    <w:rsid w:val="007D02C6"/>
    <w:rsid w:val="007D7AC6"/>
    <w:rsid w:val="007E7C3D"/>
    <w:rsid w:val="007F3EC2"/>
    <w:rsid w:val="007F3EF0"/>
    <w:rsid w:val="008041E2"/>
    <w:rsid w:val="0086201B"/>
    <w:rsid w:val="0086421E"/>
    <w:rsid w:val="008804D5"/>
    <w:rsid w:val="00883B5D"/>
    <w:rsid w:val="008E0CE4"/>
    <w:rsid w:val="00900393"/>
    <w:rsid w:val="00902B19"/>
    <w:rsid w:val="00904E59"/>
    <w:rsid w:val="00907815"/>
    <w:rsid w:val="00945D94"/>
    <w:rsid w:val="0095171B"/>
    <w:rsid w:val="0097148A"/>
    <w:rsid w:val="00976678"/>
    <w:rsid w:val="00983B1A"/>
    <w:rsid w:val="00990AB4"/>
    <w:rsid w:val="00992F7C"/>
    <w:rsid w:val="009A51AC"/>
    <w:rsid w:val="009D64D6"/>
    <w:rsid w:val="009F1769"/>
    <w:rsid w:val="00A15710"/>
    <w:rsid w:val="00A22C1D"/>
    <w:rsid w:val="00A43DE0"/>
    <w:rsid w:val="00AE3169"/>
    <w:rsid w:val="00AF054D"/>
    <w:rsid w:val="00AF095A"/>
    <w:rsid w:val="00B23861"/>
    <w:rsid w:val="00B308C3"/>
    <w:rsid w:val="00B729EA"/>
    <w:rsid w:val="00B73220"/>
    <w:rsid w:val="00BA6ADA"/>
    <w:rsid w:val="00BD45D9"/>
    <w:rsid w:val="00BD6723"/>
    <w:rsid w:val="00BE5AB8"/>
    <w:rsid w:val="00C02E6B"/>
    <w:rsid w:val="00C117E8"/>
    <w:rsid w:val="00C258FF"/>
    <w:rsid w:val="00C40FE9"/>
    <w:rsid w:val="00C61CCF"/>
    <w:rsid w:val="00C6345F"/>
    <w:rsid w:val="00C72308"/>
    <w:rsid w:val="00C8276B"/>
    <w:rsid w:val="00C940A3"/>
    <w:rsid w:val="00CB0DA3"/>
    <w:rsid w:val="00CC6316"/>
    <w:rsid w:val="00CE71AE"/>
    <w:rsid w:val="00D10233"/>
    <w:rsid w:val="00D21440"/>
    <w:rsid w:val="00D436E5"/>
    <w:rsid w:val="00D629BE"/>
    <w:rsid w:val="00D706F6"/>
    <w:rsid w:val="00D72948"/>
    <w:rsid w:val="00D82506"/>
    <w:rsid w:val="00D90B9D"/>
    <w:rsid w:val="00D95DEE"/>
    <w:rsid w:val="00DB2679"/>
    <w:rsid w:val="00DC3C93"/>
    <w:rsid w:val="00DF01DB"/>
    <w:rsid w:val="00E003AE"/>
    <w:rsid w:val="00E141A5"/>
    <w:rsid w:val="00E20FC0"/>
    <w:rsid w:val="00E35D80"/>
    <w:rsid w:val="00E51000"/>
    <w:rsid w:val="00E861B6"/>
    <w:rsid w:val="00F045D6"/>
    <w:rsid w:val="00F14C8D"/>
    <w:rsid w:val="00F4072F"/>
    <w:rsid w:val="00F50E20"/>
    <w:rsid w:val="00F86A72"/>
    <w:rsid w:val="00FA154D"/>
    <w:rsid w:val="00FB765B"/>
    <w:rsid w:val="03516B20"/>
    <w:rsid w:val="09F944AC"/>
    <w:rsid w:val="16686E90"/>
    <w:rsid w:val="25571930"/>
    <w:rsid w:val="2C30567A"/>
    <w:rsid w:val="32DE558A"/>
    <w:rsid w:val="476D76EC"/>
    <w:rsid w:val="4A284B26"/>
    <w:rsid w:val="58EA1FBB"/>
    <w:rsid w:val="5EB20E2B"/>
    <w:rsid w:val="61882849"/>
    <w:rsid w:val="665D5CF0"/>
    <w:rsid w:val="69AE4185"/>
    <w:rsid w:val="6C2615FD"/>
    <w:rsid w:val="7A3F03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20"/>
    <w:semiHidden/>
    <w:unhideWhenUsed/>
    <w:qFormat/>
    <w:uiPriority w:val="99"/>
    <w:pPr>
      <w:jc w:val="left"/>
    </w:pPr>
  </w:style>
  <w:style w:type="paragraph" w:styleId="3">
    <w:name w:val="Balloon Text"/>
    <w:basedOn w:val="1"/>
    <w:link w:val="23"/>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link w:val="16"/>
    <w:unhideWhenUsed/>
    <w:qFormat/>
    <w:uiPriority w:val="99"/>
    <w:pPr>
      <w:snapToGrid w:val="0"/>
      <w:jc w:val="left"/>
    </w:pPr>
    <w:rPr>
      <w:sz w:val="18"/>
      <w:szCs w:val="18"/>
    </w:rPr>
  </w:style>
  <w:style w:type="paragraph" w:styleId="7">
    <w:name w:val="annotation subject"/>
    <w:basedOn w:val="2"/>
    <w:next w:val="2"/>
    <w:link w:val="21"/>
    <w:semiHidden/>
    <w:unhideWhenUsed/>
    <w:qFormat/>
    <w:uiPriority w:val="99"/>
    <w:rPr>
      <w:b/>
      <w:bCs/>
    </w:rPr>
  </w:style>
  <w:style w:type="character" w:styleId="10">
    <w:name w:val="Emphasis"/>
    <w:basedOn w:val="9"/>
    <w:qFormat/>
    <w:uiPriority w:val="20"/>
    <w:rPr>
      <w:i/>
      <w:iCs/>
    </w:rPr>
  </w:style>
  <w:style w:type="character" w:styleId="11">
    <w:name w:val="Hyperlink"/>
    <w:basedOn w:val="9"/>
    <w:semiHidden/>
    <w:unhideWhenUsed/>
    <w:qFormat/>
    <w:uiPriority w:val="99"/>
    <w:rPr>
      <w:color w:val="0000FF"/>
      <w:u w:val="single"/>
    </w:rPr>
  </w:style>
  <w:style w:type="character" w:styleId="12">
    <w:name w:val="annotation reference"/>
    <w:basedOn w:val="9"/>
    <w:semiHidden/>
    <w:unhideWhenUsed/>
    <w:qFormat/>
    <w:uiPriority w:val="99"/>
    <w:rPr>
      <w:sz w:val="21"/>
      <w:szCs w:val="21"/>
    </w:rPr>
  </w:style>
  <w:style w:type="character" w:styleId="13">
    <w:name w:val="footnote reference"/>
    <w:basedOn w:val="9"/>
    <w:semiHidden/>
    <w:unhideWhenUsed/>
    <w:qFormat/>
    <w:uiPriority w:val="99"/>
    <w:rPr>
      <w:vertAlign w:val="superscript"/>
    </w:rPr>
  </w:style>
  <w:style w:type="character" w:customStyle="1" w:styleId="14">
    <w:name w:val="页眉 字符"/>
    <w:basedOn w:val="9"/>
    <w:link w:val="5"/>
    <w:qFormat/>
    <w:uiPriority w:val="99"/>
    <w:rPr>
      <w:sz w:val="18"/>
      <w:szCs w:val="18"/>
    </w:rPr>
  </w:style>
  <w:style w:type="character" w:customStyle="1" w:styleId="15">
    <w:name w:val="页脚 字符"/>
    <w:basedOn w:val="9"/>
    <w:link w:val="4"/>
    <w:qFormat/>
    <w:uiPriority w:val="99"/>
    <w:rPr>
      <w:sz w:val="18"/>
      <w:szCs w:val="18"/>
    </w:rPr>
  </w:style>
  <w:style w:type="character" w:customStyle="1" w:styleId="16">
    <w:name w:val="脚注文本 字符"/>
    <w:basedOn w:val="9"/>
    <w:link w:val="6"/>
    <w:semiHidden/>
    <w:qFormat/>
    <w:uiPriority w:val="99"/>
    <w:rPr>
      <w:sz w:val="18"/>
      <w:szCs w:val="18"/>
    </w:rPr>
  </w:style>
  <w:style w:type="character" w:customStyle="1" w:styleId="17">
    <w:name w:val="脚注文本 Char1"/>
    <w:basedOn w:val="9"/>
    <w:qFormat/>
    <w:uiPriority w:val="99"/>
    <w:rPr>
      <w:rFonts w:ascii="Tahoma" w:hAnsi="Tahoma" w:eastAsia="微软雅黑" w:cs="Times New Roman"/>
      <w:sz w:val="18"/>
      <w:szCs w:val="18"/>
    </w:rPr>
  </w:style>
  <w:style w:type="character" w:customStyle="1" w:styleId="18">
    <w:name w:val="fontstyle01"/>
    <w:basedOn w:val="9"/>
    <w:qFormat/>
    <w:uiPriority w:val="0"/>
    <w:rPr>
      <w:rFonts w:hint="eastAsia" w:ascii="宋体" w:hAnsi="宋体" w:eastAsia="宋体"/>
      <w:color w:val="231F20"/>
      <w:sz w:val="20"/>
      <w:szCs w:val="20"/>
    </w:rPr>
  </w:style>
  <w:style w:type="character" w:customStyle="1" w:styleId="19">
    <w:name w:val="fontstyle11"/>
    <w:basedOn w:val="9"/>
    <w:qFormat/>
    <w:uiPriority w:val="0"/>
    <w:rPr>
      <w:color w:val="231F20"/>
      <w:sz w:val="20"/>
      <w:szCs w:val="20"/>
    </w:rPr>
  </w:style>
  <w:style w:type="character" w:customStyle="1" w:styleId="20">
    <w:name w:val="批注文字 字符"/>
    <w:basedOn w:val="9"/>
    <w:link w:val="2"/>
    <w:semiHidden/>
    <w:qFormat/>
    <w:uiPriority w:val="99"/>
    <w:rPr>
      <w:rFonts w:asciiTheme="minorHAnsi" w:hAnsiTheme="minorHAnsi" w:eastAsiaTheme="minorEastAsia" w:cstheme="minorBidi"/>
      <w:kern w:val="2"/>
      <w:sz w:val="21"/>
      <w:szCs w:val="22"/>
    </w:rPr>
  </w:style>
  <w:style w:type="character" w:customStyle="1" w:styleId="21">
    <w:name w:val="批注主题 字符"/>
    <w:basedOn w:val="20"/>
    <w:link w:val="7"/>
    <w:semiHidden/>
    <w:qFormat/>
    <w:uiPriority w:val="99"/>
    <w:rPr>
      <w:rFonts w:asciiTheme="minorHAnsi" w:hAnsiTheme="minorHAnsi" w:eastAsiaTheme="minorEastAsia" w:cstheme="minorBidi"/>
      <w:b/>
      <w:bCs/>
      <w:kern w:val="2"/>
      <w:sz w:val="21"/>
      <w:szCs w:val="22"/>
    </w:rPr>
  </w:style>
  <w:style w:type="paragraph" w:customStyle="1" w:styleId="22">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23">
    <w:name w:val="批注框文本 字符"/>
    <w:basedOn w:val="9"/>
    <w:link w:val="3"/>
    <w:semiHidden/>
    <w:qFormat/>
    <w:uiPriority w:val="99"/>
    <w:rPr>
      <w:rFonts w:asciiTheme="minorHAnsi" w:hAnsiTheme="minorHAnsi" w:eastAsiaTheme="minorEastAsia" w:cstheme="minorBidi"/>
      <w:kern w:val="2"/>
      <w:sz w:val="18"/>
      <w:szCs w:val="18"/>
    </w:rPr>
  </w:style>
  <w:style w:type="paragraph" w:customStyle="1" w:styleId="24">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5">
    <w:name w:val="Revision"/>
    <w:hidden/>
    <w:unhideWhenUsed/>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otnotes" Target="footnotes.xml"/>
  <Relationship Id="rId4" Type="http://schemas.openxmlformats.org/officeDocument/2006/relationships/theme" Target="theme/theme1.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5FB648-B5F3-41F0-9B01-703226DE8054}">
  <ds:schemaRefs/>
</ds:datastoreItem>
</file>

<file path=docProps/app.xml><?xml version="1.0" encoding="utf-8"?>
<Properties xmlns="http://schemas.openxmlformats.org/officeDocument/2006/extended-properties" xmlns:vt="http://schemas.openxmlformats.org/officeDocument/2006/docPropsVTypes">
  <Template>Normal</Template>
  <Pages>8</Pages>
  <Words>1292</Words>
  <Characters>7370</Characters>
  <Lines>61</Lines>
  <Paragraphs>17</Paragraphs>
  <TotalTime>35</TotalTime>
  <ScaleCrop>false</ScaleCrop>
  <LinksUpToDate>false</LinksUpToDate>
  <CharactersWithSpaces>8645</CharactersWithSpaces>
  <Application>WPS Office_11.1.0.8765_F1E327BC-269C-435d-A152-05C5408002CA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2019-05-18T10:51:00Z</dcterms:created>
  <dc:creator>戴 红鱼</dc:creator>
  <lastModifiedBy>HH</lastModifiedBy>
  <dcterms:modified xsi:type="dcterms:W3CDTF">2019-09-23T04:37:28Z</dcterms:modified>
  <revision>12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2052-11.1.0.8765</vt:lpwstr>
  </property>
  <property fmtid="{D5CDD505-2E9C-101B-9397-08002B2CF9AE}" pid="3" name="KSORubyTemplateID" linkTarget="0">
    <vt:lpwstr>6</vt:lpwstr>
  </property>
</Properties>
</file>