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黑体" w:eastAsia="黑体"/>
          <w:b/>
          <w:sz w:val="32"/>
          <w:szCs w:val="32"/>
        </w:rPr>
      </w:pPr>
      <w:r>
        <w:rPr>
          <w:rFonts w:hint="eastAsia" w:ascii="黑体" w:hAnsi="黑体" w:eastAsia="黑体"/>
          <w:b/>
          <w:sz w:val="32"/>
          <w:szCs w:val="32"/>
        </w:rPr>
        <w:t>人工智能与地方应用型本科院校经济类专业人才培养</w:t>
      </w:r>
    </w:p>
    <w:p>
      <w:pPr>
        <w:spacing w:line="440" w:lineRule="exact"/>
        <w:jc w:val="center"/>
        <w:rPr>
          <w:rFonts w:asciiTheme="minorEastAsia" w:hAnsiTheme="minorEastAsia"/>
          <w:szCs w:val="21"/>
        </w:rPr>
      </w:pPr>
      <w:r>
        <w:rPr>
          <w:rFonts w:hint="eastAsia" w:asciiTheme="minorEastAsia" w:hAnsiTheme="minorEastAsia"/>
          <w:szCs w:val="21"/>
        </w:rPr>
        <w:t>陈辉民</w:t>
      </w:r>
      <w:r>
        <w:rPr>
          <w:rStyle w:val="19"/>
          <w:rFonts w:asciiTheme="minorEastAsia" w:hAnsiTheme="minorEastAsia"/>
          <w:szCs w:val="21"/>
        </w:rPr>
        <w:footnoteReference w:id="0"/>
      </w:r>
      <w:r>
        <w:rPr>
          <w:rFonts w:hint="eastAsia" w:asciiTheme="minorEastAsia" w:hAnsiTheme="minorEastAsia"/>
          <w:szCs w:val="21"/>
        </w:rPr>
        <w:t>，徐运保</w:t>
      </w:r>
      <w:r>
        <w:rPr>
          <w:rFonts w:hint="eastAsia" w:asciiTheme="minorEastAsia" w:hAnsiTheme="minorEastAsia"/>
          <w:szCs w:val="21"/>
          <w:vertAlign w:val="superscript"/>
        </w:rPr>
        <w:t>1</w:t>
      </w:r>
      <w:r>
        <w:rPr>
          <w:rFonts w:hint="eastAsia" w:asciiTheme="minorEastAsia" w:hAnsiTheme="minorEastAsia"/>
          <w:szCs w:val="21"/>
        </w:rPr>
        <w:t>，李远辉</w:t>
      </w:r>
      <w:r>
        <w:rPr>
          <w:rFonts w:hint="eastAsia" w:asciiTheme="minorEastAsia" w:hAnsiTheme="minorEastAsia"/>
          <w:szCs w:val="21"/>
          <w:vertAlign w:val="superscript"/>
        </w:rPr>
        <w:t>2</w:t>
      </w:r>
    </w:p>
    <w:p>
      <w:pPr>
        <w:spacing w:line="440" w:lineRule="exact"/>
        <w:ind w:left="360"/>
        <w:jc w:val="center"/>
        <w:rPr>
          <w:rFonts w:asciiTheme="minorEastAsia" w:hAnsiTheme="minorEastAsia"/>
          <w:szCs w:val="21"/>
        </w:rPr>
      </w:pPr>
      <w:r>
        <w:rPr>
          <w:rFonts w:hint="eastAsia" w:asciiTheme="minorEastAsia" w:hAnsiTheme="minorEastAsia"/>
          <w:szCs w:val="21"/>
        </w:rPr>
        <w:t>（1.湖南工程学院经济学院</w:t>
      </w:r>
      <w:r>
        <w:rPr>
          <w:rFonts w:hint="eastAsia" w:asciiTheme="minorEastAsia" w:hAnsiTheme="minorEastAsia"/>
          <w:szCs w:val="21"/>
          <w:lang w:eastAsia="zh-CN"/>
        </w:rPr>
        <w:t>，</w:t>
      </w:r>
      <w:r>
        <w:rPr>
          <w:rFonts w:hint="eastAsia" w:asciiTheme="minorEastAsia" w:hAnsiTheme="minorEastAsia"/>
          <w:szCs w:val="21"/>
        </w:rPr>
        <w:t>湖南 湘潭 411104；</w:t>
      </w:r>
    </w:p>
    <w:p>
      <w:pPr>
        <w:spacing w:line="440" w:lineRule="exact"/>
        <w:ind w:left="360"/>
        <w:jc w:val="center"/>
        <w:rPr>
          <w:rFonts w:asciiTheme="minorEastAsia" w:hAnsiTheme="minorEastAsia"/>
          <w:szCs w:val="21"/>
        </w:rPr>
      </w:pPr>
      <w:r>
        <w:rPr>
          <w:rFonts w:hint="eastAsia" w:asciiTheme="minorEastAsia" w:hAnsiTheme="minorEastAsia"/>
          <w:szCs w:val="21"/>
        </w:rPr>
        <w:t>2.湖南工程学院计算与通信学院</w:t>
      </w:r>
      <w:r>
        <w:rPr>
          <w:rFonts w:hint="eastAsia" w:asciiTheme="minorEastAsia" w:hAnsiTheme="minorEastAsia"/>
          <w:szCs w:val="21"/>
          <w:lang w:eastAsia="zh-CN"/>
        </w:rPr>
        <w:t>，</w:t>
      </w:r>
      <w:r>
        <w:rPr>
          <w:rFonts w:hint="eastAsia" w:asciiTheme="minorEastAsia" w:hAnsiTheme="minorEastAsia"/>
          <w:szCs w:val="21"/>
        </w:rPr>
        <w:t>湖南 湘潭 411104）</w:t>
      </w:r>
    </w:p>
    <w:p>
      <w:pPr>
        <w:spacing w:line="440" w:lineRule="exact"/>
        <w:ind w:left="360" w:firstLine="422" w:firstLineChars="200"/>
        <w:rPr>
          <w:rFonts w:asciiTheme="minorEastAsia" w:hAnsiTheme="minorEastAsia"/>
          <w:szCs w:val="21"/>
        </w:rPr>
      </w:pPr>
      <w:r>
        <w:rPr>
          <w:rFonts w:hint="eastAsia" w:asciiTheme="minorEastAsia" w:hAnsiTheme="minorEastAsia"/>
          <w:b/>
          <w:szCs w:val="21"/>
        </w:rPr>
        <w:t>摘要：</w:t>
      </w:r>
      <w:r>
        <w:rPr>
          <w:rFonts w:asciiTheme="minorEastAsia" w:hAnsiTheme="minorEastAsia"/>
          <w:szCs w:val="21"/>
        </w:rPr>
        <w:t>人工智能</w:t>
      </w:r>
      <w:r>
        <w:rPr>
          <w:rFonts w:hint="eastAsia" w:asciiTheme="minorEastAsia" w:hAnsiTheme="minorEastAsia"/>
          <w:szCs w:val="21"/>
        </w:rPr>
        <w:t>促使</w:t>
      </w:r>
      <w:r>
        <w:rPr>
          <w:rFonts w:asciiTheme="minorEastAsia" w:hAnsiTheme="minorEastAsia"/>
          <w:szCs w:val="21"/>
        </w:rPr>
        <w:t>产业经营模式转变</w:t>
      </w:r>
      <w:r>
        <w:rPr>
          <w:rFonts w:hint="eastAsia" w:asciiTheme="minorEastAsia" w:hAnsiTheme="minorEastAsia"/>
          <w:szCs w:val="21"/>
        </w:rPr>
        <w:t>，</w:t>
      </w:r>
      <w:r>
        <w:rPr>
          <w:rFonts w:asciiTheme="minorEastAsia" w:hAnsiTheme="minorEastAsia"/>
          <w:szCs w:val="21"/>
        </w:rPr>
        <w:t>进而导致人才需求转变</w:t>
      </w:r>
      <w:r>
        <w:rPr>
          <w:rFonts w:hint="eastAsia" w:asciiTheme="minorEastAsia" w:hAnsiTheme="minorEastAsia"/>
          <w:szCs w:val="21"/>
        </w:rPr>
        <w:t>，</w:t>
      </w:r>
      <w:r>
        <w:rPr>
          <w:rFonts w:asciiTheme="minorEastAsia" w:hAnsiTheme="minorEastAsia"/>
          <w:szCs w:val="21"/>
        </w:rPr>
        <w:t>反向影响地方应用型本科人才培养模式</w:t>
      </w:r>
      <w:r>
        <w:rPr>
          <w:rFonts w:hint="eastAsia" w:asciiTheme="minorEastAsia" w:hAnsiTheme="minorEastAsia"/>
          <w:szCs w:val="21"/>
        </w:rPr>
        <w:t>。人才培养与人工智能尚未融合、培养目标与岗位能力要求不匹配、教与学脱节、忽视实验课的作用、缺乏数据处理课程是地方应用型本科院校人才培养的通病，但地方应用型本科院校多年办学历史积累的大量数据、高校制度改革压力、客观评价教师水平的呼声、积极有效的学生管理为专业改革引入人工智能思想提供了现实基础。地方应用型本科院校可以尝试从建立数据部门、构建人工智能技术应用通识课程、人工智能技术与专业特色融合、专业培养过程人工智能化四个方面着手展开专业改革的工作。</w:t>
      </w:r>
    </w:p>
    <w:p>
      <w:pPr>
        <w:spacing w:line="440" w:lineRule="exact"/>
        <w:ind w:left="360" w:firstLine="422" w:firstLineChars="200"/>
        <w:rPr>
          <w:rFonts w:asciiTheme="minorEastAsia" w:hAnsiTheme="minorEastAsia"/>
          <w:szCs w:val="21"/>
        </w:rPr>
      </w:pPr>
      <w:r>
        <w:rPr>
          <w:rFonts w:hint="eastAsia" w:asciiTheme="minorEastAsia" w:hAnsiTheme="minorEastAsia"/>
          <w:b/>
          <w:szCs w:val="21"/>
        </w:rPr>
        <w:t>关键词：</w:t>
      </w:r>
      <w:r>
        <w:rPr>
          <w:rFonts w:hint="eastAsia" w:asciiTheme="minorEastAsia" w:hAnsiTheme="minorEastAsia"/>
          <w:szCs w:val="21"/>
        </w:rPr>
        <w:t>人工智能；教学改革；人才培养</w:t>
      </w:r>
    </w:p>
    <w:p>
      <w:pPr>
        <w:spacing w:line="440" w:lineRule="exact"/>
        <w:ind w:firstLine="843" w:firstLineChars="400"/>
        <w:rPr>
          <w:rFonts w:asciiTheme="minorEastAsia" w:hAnsiTheme="minorEastAsia"/>
          <w:szCs w:val="21"/>
        </w:rPr>
      </w:pPr>
      <w:r>
        <w:rPr>
          <w:rFonts w:hint="eastAsia" w:asciiTheme="minorEastAsia" w:hAnsiTheme="minorEastAsia"/>
          <w:b/>
          <w:bCs/>
          <w:szCs w:val="21"/>
        </w:rPr>
        <w:t>中图分类号：</w:t>
      </w:r>
      <w:r>
        <w:rPr>
          <w:rFonts w:asciiTheme="minorEastAsia" w:hAnsiTheme="minorEastAsia"/>
          <w:szCs w:val="21"/>
        </w:rPr>
        <w:t>G640</w:t>
      </w:r>
      <w:r>
        <w:rPr>
          <w:rFonts w:hint="eastAsia" w:asciiTheme="minorEastAsia" w:hAnsiTheme="minorEastAsia"/>
          <w:szCs w:val="21"/>
        </w:rPr>
        <w:t xml:space="preserve">           </w:t>
      </w:r>
      <w:r>
        <w:rPr>
          <w:rFonts w:hint="eastAsia" w:asciiTheme="minorEastAsia" w:hAnsiTheme="minorEastAsia"/>
          <w:b/>
          <w:bCs/>
          <w:szCs w:val="21"/>
        </w:rPr>
        <w:t>文献标识码：</w:t>
      </w:r>
      <w:r>
        <w:rPr>
          <w:rFonts w:hint="eastAsia" w:asciiTheme="minorEastAsia" w:hAnsiTheme="minorEastAsia"/>
          <w:szCs w:val="21"/>
        </w:rPr>
        <w:t xml:space="preserve">A              </w:t>
      </w:r>
      <w:r>
        <w:rPr>
          <w:rFonts w:hint="eastAsia" w:asciiTheme="minorEastAsia" w:hAnsiTheme="minorEastAsia"/>
          <w:b/>
          <w:bCs/>
          <w:szCs w:val="21"/>
        </w:rPr>
        <w:t>文章编号：</w:t>
      </w:r>
    </w:p>
    <w:p>
      <w:pPr>
        <w:spacing w:line="400" w:lineRule="exact"/>
        <w:ind w:firstLine="420" w:firstLineChars="200"/>
        <w:rPr>
          <w:rFonts w:asciiTheme="minorEastAsia" w:hAnsiTheme="minorEastAsia"/>
          <w:szCs w:val="21"/>
        </w:rPr>
      </w:pPr>
      <w:bookmarkStart w:id="0" w:name="_Toc512956295"/>
    </w:p>
    <w:p>
      <w:pPr>
        <w:spacing w:line="400" w:lineRule="exact"/>
        <w:ind w:firstLine="482" w:firstLineChars="200"/>
        <w:rPr>
          <w:rFonts w:cs="Times New Roman" w:asciiTheme="minorEastAsia" w:hAnsiTheme="minorEastAsia"/>
          <w:b/>
          <w:sz w:val="24"/>
          <w:szCs w:val="24"/>
        </w:rPr>
      </w:pPr>
      <w:r>
        <w:rPr>
          <w:rFonts w:hint="eastAsia" w:asciiTheme="minorEastAsia" w:hAnsiTheme="minorEastAsia"/>
          <w:b/>
          <w:sz w:val="24"/>
          <w:szCs w:val="24"/>
        </w:rPr>
        <w:t>引言</w:t>
      </w:r>
      <w:bookmarkEnd w:id="0"/>
    </w:p>
    <w:p>
      <w:pPr>
        <w:spacing w:line="400" w:lineRule="exact"/>
        <w:ind w:firstLine="367" w:firstLineChars="175"/>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“人工智能（artificial intelligence）”，简称AI，是机器模拟、延伸和扩展人类的智能、感知环境、获取知识，获得最优结果的理论、算法、技术。人工智能核心技术就是算法，自1956 年在Dartmouth学会上提出以来，逐步渗透到国民生产、分配、交换、消费等环节，正在改变人类的生活方式，影响着高等院校发展和专业改革的方向。</w:t>
      </w:r>
    </w:p>
    <w:p>
      <w:pPr>
        <w:spacing w:line="400" w:lineRule="exact"/>
        <w:ind w:firstLine="367" w:firstLineChars="175"/>
        <w:rPr>
          <w:rFonts w:asciiTheme="minorEastAsia" w:hAnsiTheme="minorEastAsia"/>
          <w:szCs w:val="21"/>
        </w:rPr>
      </w:pPr>
      <w:r>
        <w:rPr>
          <w:rFonts w:hint="eastAsia" w:ascii="宋体" w:hAnsi="宋体" w:eastAsia="宋体" w:cs="宋体"/>
          <w:color w:val="333333"/>
          <w:kern w:val="0"/>
          <w:szCs w:val="21"/>
        </w:rPr>
        <w:t>从国家宏观战略及教育部发布的文件可以了解到人工智能是高校面临的一个新机遇。</w:t>
      </w:r>
      <w:r>
        <w:rPr>
          <w:rFonts w:ascii="Times New Roman" w:hAnsi="Times New Roman" w:eastAsia="宋体" w:cs="Times New Roman"/>
          <w:color w:val="333333"/>
          <w:kern w:val="0"/>
          <w:szCs w:val="21"/>
        </w:rPr>
        <w:t>2017年1月10日，国务</w:t>
      </w:r>
      <w:r>
        <w:rPr>
          <w:rFonts w:hint="eastAsia" w:ascii="宋体" w:hAnsi="宋体" w:eastAsia="宋体" w:cs="宋体"/>
          <w:color w:val="333333"/>
          <w:kern w:val="0"/>
          <w:szCs w:val="21"/>
        </w:rPr>
        <w:t>院在《国家教育事业发展“十三五”规划》指出：探索互联网、云计算、大数据、人工智能等现代技术影响人才培养的模式，为实现高等教育发展目标，在落实</w:t>
      </w:r>
      <w:r>
        <w:rPr>
          <w:rFonts w:hint="eastAsia" w:ascii="宋体" w:hAnsi="宋体" w:eastAsia="宋体"/>
          <w:szCs w:val="21"/>
        </w:rPr>
        <w:t>学校办学自主权的同时，推行以学生为中心的个性化培养教学模式，持续</w:t>
      </w:r>
      <w:r>
        <w:rPr>
          <w:rFonts w:hint="eastAsia" w:ascii="宋体" w:hAnsi="宋体" w:eastAsia="宋体" w:cs="宋体"/>
          <w:color w:val="333333"/>
          <w:kern w:val="0"/>
          <w:szCs w:val="21"/>
        </w:rPr>
        <w:t>以创新驱动战略推动高等教育供给侧结构性改革，</w:t>
      </w:r>
      <w:r>
        <w:rPr>
          <w:rFonts w:hint="eastAsia" w:ascii="宋体" w:hAnsi="宋体" w:eastAsia="宋体"/>
          <w:szCs w:val="21"/>
        </w:rPr>
        <w:t>深化本科教育教学改革</w:t>
      </w:r>
      <w:r>
        <w:rPr>
          <w:rFonts w:hint="eastAsia" w:ascii="宋体" w:hAnsi="宋体" w:eastAsia="宋体"/>
          <w:szCs w:val="21"/>
          <w:vertAlign w:val="superscript"/>
        </w:rPr>
        <w:t>[</w:t>
      </w:r>
      <w:r>
        <w:rPr>
          <w:rFonts w:ascii="宋体" w:hAnsi="宋体" w:eastAsia="宋体"/>
          <w:szCs w:val="21"/>
          <w:vertAlign w:val="superscript"/>
        </w:rPr>
        <w:t>1]</w:t>
      </w:r>
      <w:r>
        <w:rPr>
          <w:rFonts w:hint="eastAsia" w:ascii="宋体" w:hAnsi="宋体" w:eastAsia="宋体"/>
          <w:szCs w:val="21"/>
        </w:rPr>
        <w:t>。</w:t>
      </w:r>
      <w:r>
        <w:rPr>
          <w:rFonts w:ascii="Times New Roman" w:hAnsi="Times New Roman" w:eastAsia="宋体" w:cs="Times New Roman"/>
          <w:szCs w:val="21"/>
        </w:rPr>
        <w:t>2017年07月20日，国务院发布了《新一代人工智能发展规划》文件，文件提出</w:t>
      </w:r>
      <w:r>
        <w:rPr>
          <w:rFonts w:hint="eastAsia" w:ascii="Times New Roman" w:hAnsi="Times New Roman" w:eastAsia="宋体" w:cs="Times New Roman"/>
          <w:szCs w:val="21"/>
        </w:rPr>
        <w:t>“</w:t>
      </w:r>
      <w:r>
        <w:rPr>
          <w:rFonts w:ascii="Times New Roman" w:hAnsi="Times New Roman" w:eastAsia="宋体" w:cs="Times New Roman"/>
          <w:szCs w:val="21"/>
        </w:rPr>
        <w:t>培养掌握</w:t>
      </w:r>
      <w:r>
        <w:rPr>
          <w:rFonts w:cs="Times New Roman" w:asciiTheme="majorEastAsia" w:hAnsiTheme="majorEastAsia" w:eastAsiaTheme="majorEastAsia"/>
          <w:szCs w:val="21"/>
        </w:rPr>
        <w:t>‘人工智能+’</w:t>
      </w:r>
      <w:r>
        <w:rPr>
          <w:rFonts w:ascii="Times New Roman" w:hAnsi="Times New Roman" w:eastAsia="宋体" w:cs="Times New Roman"/>
          <w:szCs w:val="21"/>
        </w:rPr>
        <w:t>经济、管理、法律等横向复合型人才</w:t>
      </w:r>
      <w:r>
        <w:rPr>
          <w:rFonts w:hint="eastAsia" w:ascii="Times New Roman" w:hAnsi="Times New Roman" w:eastAsia="宋体" w:cs="Times New Roman"/>
          <w:szCs w:val="21"/>
        </w:rPr>
        <w:t>”</w:t>
      </w:r>
      <w:r>
        <w:rPr>
          <w:rFonts w:ascii="Times New Roman" w:hAnsi="Times New Roman" w:eastAsia="宋体" w:cs="Times New Roman"/>
          <w:szCs w:val="21"/>
        </w:rPr>
        <w:t>战略</w:t>
      </w:r>
      <w:r>
        <w:rPr>
          <w:rFonts w:ascii="Times New Roman" w:hAnsi="Times New Roman" w:eastAsia="宋体" w:cs="Times New Roman"/>
          <w:szCs w:val="21"/>
          <w:vertAlign w:val="superscript"/>
        </w:rPr>
        <w:t>[2]</w:t>
      </w:r>
      <w:r>
        <w:rPr>
          <w:rFonts w:ascii="Times New Roman" w:hAnsi="Times New Roman" w:eastAsia="宋体" w:cs="Times New Roman"/>
          <w:szCs w:val="21"/>
        </w:rPr>
        <w:t>；</w:t>
      </w:r>
      <w:r>
        <w:rPr>
          <w:rFonts w:ascii="Times New Roman" w:hAnsi="Times New Roman" w:eastAsia="宋体" w:cs="Times New Roman"/>
          <w:color w:val="333333"/>
          <w:kern w:val="0"/>
          <w:szCs w:val="21"/>
        </w:rPr>
        <w:t>2018年4月2日</w:t>
      </w:r>
      <w:r>
        <w:rPr>
          <w:rFonts w:ascii="宋体" w:hAnsi="宋体" w:eastAsia="宋体" w:cs="宋体"/>
          <w:color w:val="333333"/>
          <w:kern w:val="0"/>
          <w:szCs w:val="21"/>
        </w:rPr>
        <w:t>，教育部在印发的《高等学校人工智能创新行动计划》进一步提出：利用人工智能技术支撑人才培养模式创新、教学方法的改革；加</w:t>
      </w:r>
      <w:r>
        <w:rPr>
          <w:rFonts w:ascii="Times New Roman" w:hAnsi="Times New Roman" w:eastAsia="宋体" w:cs="Times New Roman"/>
          <w:szCs w:val="21"/>
        </w:rPr>
        <w:t>强</w:t>
      </w:r>
      <w:r>
        <w:rPr>
          <w:rFonts w:hint="eastAsia" w:asciiTheme="minorEastAsia" w:hAnsiTheme="minorEastAsia"/>
          <w:szCs w:val="21"/>
        </w:rPr>
        <w:t>人工智能与计算机、数学、经济学等相关学科的交叉融合；探索“人工智能+X”的人才培养模式，实施“人工智能+”行动；探索基于数据驱动的人工智能的教学改革，评估教、学的绩效，推动学校制度改革</w:t>
      </w:r>
      <w:r>
        <w:rPr>
          <w:rFonts w:hint="eastAsia" w:asciiTheme="minorEastAsia" w:hAnsiTheme="minorEastAsia"/>
          <w:szCs w:val="21"/>
          <w:vertAlign w:val="superscript"/>
        </w:rPr>
        <w:t>[</w:t>
      </w:r>
      <w:r>
        <w:rPr>
          <w:rFonts w:asciiTheme="minorEastAsia" w:hAnsiTheme="minorEastAsia"/>
          <w:szCs w:val="21"/>
          <w:vertAlign w:val="superscript"/>
        </w:rPr>
        <w:t>3]</w:t>
      </w:r>
      <w:r>
        <w:rPr>
          <w:rFonts w:hint="eastAsia" w:asciiTheme="minorEastAsia" w:hAnsiTheme="minorEastAsia"/>
          <w:szCs w:val="21"/>
        </w:rPr>
        <w:t>。</w:t>
      </w:r>
      <w:r>
        <w:rPr>
          <w:rFonts w:ascii="Times New Roman" w:hAnsi="Times New Roman" w:cs="Times New Roman"/>
          <w:szCs w:val="21"/>
        </w:rPr>
        <w:t xml:space="preserve"> 2018年4月13日，</w:t>
      </w:r>
      <w:r>
        <w:rPr>
          <w:rFonts w:hint="eastAsia" w:asciiTheme="minorEastAsia" w:hAnsiTheme="minorEastAsia"/>
          <w:szCs w:val="21"/>
        </w:rPr>
        <w:t xml:space="preserve"> 教育部在印发的《教育信息化2.0行动计划》提出“基于智能技术的‘互联网+'条件下的人才培养新模式，推行以智能化为中心的教育体系，提升教育信息化整体水平”的新战略</w:t>
      </w:r>
      <w:r>
        <w:rPr>
          <w:rFonts w:hint="eastAsia" w:asciiTheme="minorEastAsia" w:hAnsiTheme="minorEastAsia"/>
          <w:szCs w:val="21"/>
          <w:vertAlign w:val="superscript"/>
        </w:rPr>
        <w:t>[</w:t>
      </w:r>
      <w:r>
        <w:rPr>
          <w:rFonts w:asciiTheme="minorEastAsia" w:hAnsiTheme="minorEastAsia"/>
          <w:szCs w:val="21"/>
          <w:vertAlign w:val="superscript"/>
        </w:rPr>
        <w:t>4]</w:t>
      </w:r>
      <w:r>
        <w:rPr>
          <w:rFonts w:hint="eastAsia" w:asciiTheme="minorEastAsia" w:hAnsiTheme="minorEastAsia"/>
          <w:szCs w:val="21"/>
        </w:rPr>
        <w:t>。</w:t>
      </w:r>
    </w:p>
    <w:p>
      <w:pPr>
        <w:spacing w:line="400" w:lineRule="exact"/>
        <w:ind w:firstLine="367" w:firstLineChars="175"/>
        <w:rPr>
          <w:rFonts w:asciiTheme="minorEastAsia" w:hAnsiTheme="minorEastAsia"/>
          <w:szCs w:val="21"/>
        </w:rPr>
      </w:pPr>
      <w:r>
        <w:rPr>
          <w:rFonts w:hint="eastAsia" w:asciiTheme="minorEastAsia" w:hAnsiTheme="minorEastAsia"/>
          <w:szCs w:val="21"/>
        </w:rPr>
        <w:t>以清华大学、北京大学、浙江大学为代表的中国著名大学已经对人工智能进行战略布局并展开深度研究，而对于地方应用型本科院校来说，虽然不确定能否在人工智能领域有所突破，但一定可以利用成熟的人工智能技术进行全方位的人才培养改革（一般被理解为对原有</w:t>
      </w:r>
      <w:r>
        <w:rPr>
          <w:rFonts w:ascii="Arial" w:hAnsi="Arial" w:cs="Arial"/>
          <w:color w:val="333333"/>
          <w:szCs w:val="21"/>
          <w:shd w:val="clear" w:color="auto" w:fill="FFFFFF"/>
        </w:rPr>
        <w:t>人才教育、培训做出创新性</w:t>
      </w:r>
      <w:r>
        <w:rPr>
          <w:rFonts w:hint="eastAsia" w:ascii="Arial" w:hAnsi="Arial" w:cs="Arial"/>
          <w:color w:val="333333"/>
          <w:szCs w:val="21"/>
          <w:shd w:val="clear" w:color="auto" w:fill="FFFFFF"/>
        </w:rPr>
        <w:t>、</w:t>
      </w:r>
      <w:r>
        <w:rPr>
          <w:rFonts w:ascii="Arial" w:hAnsi="Arial" w:cs="Arial"/>
          <w:color w:val="333333"/>
          <w:szCs w:val="21"/>
          <w:shd w:val="clear" w:color="auto" w:fill="FFFFFF"/>
        </w:rPr>
        <w:t>创造性的改变</w:t>
      </w:r>
      <w:r>
        <w:rPr>
          <w:rFonts w:hint="eastAsia" w:ascii="Arial" w:hAnsi="Arial" w:cs="Arial"/>
          <w:color w:val="333333"/>
          <w:szCs w:val="21"/>
          <w:shd w:val="clear" w:color="auto" w:fill="FFFFFF"/>
        </w:rPr>
        <w:t>，</w:t>
      </w:r>
      <w:r>
        <w:rPr>
          <w:rFonts w:ascii="Arial" w:hAnsi="Arial" w:cs="Arial"/>
          <w:color w:val="333333"/>
          <w:szCs w:val="21"/>
          <w:shd w:val="clear" w:color="auto" w:fill="FFFFFF"/>
        </w:rPr>
        <w:t>本文主要</w:t>
      </w:r>
      <w:r>
        <w:rPr>
          <w:rFonts w:hint="eastAsia" w:ascii="Arial" w:hAnsi="Arial" w:cs="Arial"/>
          <w:color w:val="333333"/>
          <w:szCs w:val="21"/>
          <w:shd w:val="clear" w:color="auto" w:fill="FFFFFF"/>
        </w:rPr>
        <w:t>指</w:t>
      </w:r>
      <w:r>
        <w:rPr>
          <w:rFonts w:ascii="Arial" w:hAnsi="Arial" w:cs="Arial"/>
          <w:color w:val="333333"/>
          <w:szCs w:val="21"/>
          <w:shd w:val="clear" w:color="auto" w:fill="FFFFFF"/>
        </w:rPr>
        <w:t>在人才培养方案中引入人工智能思想</w:t>
      </w:r>
      <w:r>
        <w:rPr>
          <w:rFonts w:hint="eastAsia" w:asciiTheme="minorEastAsia" w:hAnsiTheme="minorEastAsia"/>
          <w:szCs w:val="21"/>
        </w:rPr>
        <w:t>），利用数据驱动的人工智能技术挖掘学生招生区域、学习兴趣点、学生奖、助学金评价指标、学生就业行业和区域，培养能适应人工智能时代的人才，充分发挥人工智能技术在人才培养中的核心作用。</w:t>
      </w:r>
    </w:p>
    <w:p>
      <w:pPr>
        <w:spacing w:line="400" w:lineRule="exact"/>
        <w:ind w:firstLine="482" w:firstLineChars="200"/>
        <w:rPr>
          <w:rFonts w:asciiTheme="minorEastAsia" w:hAnsiTheme="minorEastAsia"/>
          <w:b/>
          <w:sz w:val="24"/>
          <w:szCs w:val="24"/>
        </w:rPr>
      </w:pPr>
      <w:bookmarkStart w:id="1" w:name="_Toc512956296"/>
      <w:r>
        <w:rPr>
          <w:rFonts w:asciiTheme="minorEastAsia" w:hAnsiTheme="minorEastAsia"/>
          <w:b/>
          <w:sz w:val="24"/>
          <w:szCs w:val="24"/>
        </w:rPr>
        <w:t>一</w:t>
      </w:r>
      <w:r>
        <w:rPr>
          <w:rFonts w:hint="eastAsia" w:asciiTheme="minorEastAsia" w:hAnsiTheme="minorEastAsia"/>
          <w:b/>
          <w:sz w:val="24"/>
          <w:szCs w:val="24"/>
        </w:rPr>
        <w:t>、地方应用型本科院校专业人才培养瓶颈</w:t>
      </w:r>
      <w:bookmarkEnd w:id="1"/>
    </w:p>
    <w:p>
      <w:pPr>
        <w:spacing w:line="400" w:lineRule="exact"/>
        <w:ind w:firstLine="422" w:firstLineChars="200"/>
        <w:rPr>
          <w:rFonts w:asciiTheme="minorEastAsia" w:hAnsiTheme="minorEastAsia"/>
          <w:b/>
          <w:sz w:val="24"/>
          <w:szCs w:val="24"/>
        </w:rPr>
      </w:pPr>
      <w:bookmarkStart w:id="2" w:name="_Toc512956297"/>
      <w:r>
        <w:rPr>
          <w:rFonts w:hint="eastAsia" w:asciiTheme="minorEastAsia" w:hAnsiTheme="minorEastAsia"/>
          <w:b/>
          <w:szCs w:val="21"/>
        </w:rPr>
        <w:t>（一）专业人才培养与人工智能尚未融合</w:t>
      </w:r>
      <w:bookmarkEnd w:id="2"/>
    </w:p>
    <w:p>
      <w:pPr>
        <w:autoSpaceDE w:val="0"/>
        <w:autoSpaceDN w:val="0"/>
        <w:adjustRightInd w:val="0"/>
        <w:spacing w:line="400" w:lineRule="exact"/>
        <w:ind w:firstLine="420" w:firstLineChars="200"/>
        <w:jc w:val="left"/>
        <w:rPr>
          <w:rFonts w:ascii="Times New Roman" w:hAnsi="Times New Roman" w:cs="Times New Roman"/>
          <w:szCs w:val="21"/>
        </w:rPr>
      </w:pPr>
      <w:r>
        <w:rPr>
          <w:rFonts w:ascii="Times New Roman" w:hAnsi="Times New Roman" w:cs="Times New Roman"/>
          <w:szCs w:val="21"/>
        </w:rPr>
        <w:t>以经济学科专业为例，进行说明。依据教育部于2012年9月14日发布的《普通高等学校本科专业目录（2012年）文件，经济学学科门类有经济学类（0201）、财政学类（0202）、金融学类（0203）、经济与贸易类（0204）四个门类，具体包括10个基本专业和7个特设专业。教育部发布的本科专业目录的时间点正值人工智能第三次爆发的阶段，之后人工智能核心算法（深度学习）和大数据发展成熟，并创造</w:t>
      </w:r>
      <w:r>
        <w:rPr>
          <w:rFonts w:hint="eastAsia" w:ascii="Times New Roman" w:hAnsi="Times New Roman" w:cs="Times New Roman"/>
          <w:szCs w:val="21"/>
        </w:rPr>
        <w:t>了</w:t>
      </w:r>
      <w:r>
        <w:rPr>
          <w:rFonts w:ascii="Times New Roman" w:hAnsi="Times New Roman" w:cs="Times New Roman"/>
          <w:szCs w:val="21"/>
        </w:rPr>
        <w:t>实际经济价值</w:t>
      </w:r>
      <w:r>
        <w:rPr>
          <w:rFonts w:hint="eastAsia" w:ascii="Times New Roman" w:hAnsi="Times New Roman" w:cs="Times New Roman"/>
          <w:szCs w:val="21"/>
        </w:rPr>
        <w:t>。</w:t>
      </w:r>
      <w:r>
        <w:rPr>
          <w:rFonts w:ascii="Times New Roman" w:hAnsi="Times New Roman" w:cs="Times New Roman"/>
          <w:szCs w:val="21"/>
        </w:rPr>
        <w:t>至2030年，人工智能将带来10万亿元的产业带动效益，并将对金融、汽车、零售和医疗等传统产业造成巨大的影响</w:t>
      </w:r>
      <w:r>
        <w:rPr>
          <w:rFonts w:ascii="Times New Roman" w:hAnsi="Times New Roman" w:cs="Times New Roman"/>
          <w:szCs w:val="21"/>
          <w:vertAlign w:val="superscript"/>
        </w:rPr>
        <w:t>[6]</w:t>
      </w:r>
      <w:r>
        <w:rPr>
          <w:rFonts w:ascii="Times New Roman" w:hAnsi="Times New Roman" w:cs="Times New Roman"/>
          <w:szCs w:val="21"/>
        </w:rPr>
        <w:t>。人工智能影响产业发展，造成人才需求的转变，反向推</w:t>
      </w:r>
      <w:r>
        <w:rPr>
          <w:rFonts w:hint="eastAsia" w:ascii="Times New Roman" w:hAnsi="Times New Roman" w:cs="Times New Roman"/>
          <w:szCs w:val="21"/>
        </w:rPr>
        <w:t>动</w:t>
      </w:r>
      <w:r>
        <w:rPr>
          <w:rFonts w:ascii="Times New Roman" w:hAnsi="Times New Roman" w:cs="Times New Roman"/>
          <w:szCs w:val="21"/>
        </w:rPr>
        <w:t>高等学校人才培养模式的转变。</w:t>
      </w:r>
    </w:p>
    <w:p>
      <w:pPr>
        <w:spacing w:line="400" w:lineRule="exact"/>
        <w:ind w:firstLine="367" w:firstLineChars="175"/>
        <w:rPr>
          <w:rFonts w:asciiTheme="minorEastAsia" w:hAnsiTheme="minorEastAsia"/>
          <w:szCs w:val="21"/>
        </w:rPr>
      </w:pPr>
      <w:r>
        <w:rPr>
          <w:rFonts w:ascii="Times New Roman" w:hAnsi="Times New Roman" w:cs="Times New Roman"/>
          <w:szCs w:val="21"/>
        </w:rPr>
        <w:t>人工智能给经济类专业改革的启示，就是要在经济类专业引入数据分析方法，利用数据驱动进行培养制度改革、人才培养方案改革、教与学改革、学生管理等方面进行改革。以中国人民大学的经济</w:t>
      </w:r>
      <w:r>
        <w:rPr>
          <w:rFonts w:hint="eastAsia" w:ascii="Times New Roman" w:hAnsi="Times New Roman" w:cs="Times New Roman"/>
          <w:szCs w:val="21"/>
        </w:rPr>
        <w:t>类</w:t>
      </w:r>
      <w:r>
        <w:rPr>
          <w:rFonts w:ascii="Times New Roman" w:hAnsi="Times New Roman" w:cs="Times New Roman"/>
          <w:szCs w:val="21"/>
        </w:rPr>
        <w:t>专业作为调研对象，结合如湖南工程学院此类的地方本科院校分析经济类专业人才培养的现状。</w:t>
      </w:r>
    </w:p>
    <w:p>
      <w:pPr>
        <w:spacing w:line="400" w:lineRule="exact"/>
        <w:ind w:firstLine="367" w:firstLineChars="175"/>
        <w:rPr>
          <w:rFonts w:asciiTheme="minorEastAsia" w:hAnsiTheme="minorEastAsia"/>
          <w:szCs w:val="21"/>
        </w:rPr>
      </w:pPr>
      <w:r>
        <w:rPr>
          <w:rFonts w:asciiTheme="minorEastAsia" w:hAnsiTheme="minorEastAsia"/>
          <w:szCs w:val="21"/>
        </w:rPr>
        <w:t>在网页查看中国人民大学的经济类专业</w:t>
      </w:r>
      <w:r>
        <w:rPr>
          <w:rFonts w:hint="eastAsia" w:asciiTheme="minorEastAsia" w:hAnsiTheme="minorEastAsia"/>
          <w:szCs w:val="21"/>
        </w:rPr>
        <w:t xml:space="preserve">（财政学、税收学、金融工程、金融学、信用管理、保险学、金融学—数学实验班、财税实验班、经济学、国际经济与贸易、国民经济管理、能源经济、经济学－数学双学位实验班）培养方案 </w:t>
      </w:r>
      <w:r>
        <w:rPr>
          <w:rFonts w:hint="eastAsia" w:asciiTheme="minorEastAsia" w:hAnsiTheme="minorEastAsia"/>
          <w:szCs w:val="21"/>
          <w:vertAlign w:val="superscript"/>
        </w:rPr>
        <w:t>[</w:t>
      </w:r>
      <w:r>
        <w:rPr>
          <w:rFonts w:asciiTheme="minorEastAsia" w:hAnsiTheme="minorEastAsia"/>
          <w:szCs w:val="21"/>
          <w:vertAlign w:val="superscript"/>
        </w:rPr>
        <w:t>7-8]</w:t>
      </w:r>
      <w:r>
        <w:rPr>
          <w:rFonts w:hint="eastAsia" w:asciiTheme="minorEastAsia" w:hAnsiTheme="minorEastAsia"/>
          <w:szCs w:val="21"/>
        </w:rPr>
        <w:t>的介绍，可以发现除了实验班强调更多的数学方法，其它专业尚未引入人工智能算法，这也说明著名高校尚未在人才培养计划中开设有关人工工智能的相关的核心课程。分析湖南工程学院、湘南学院、邵阳学院等地方应用型本科的专业人才培养方案，基本上都是沿用教育部规定的课程设置，也没有突出应用型的特色。故此在专业中引入人工智能相关核心课程值得期待。</w:t>
      </w:r>
    </w:p>
    <w:p>
      <w:pPr>
        <w:spacing w:line="400" w:lineRule="exact"/>
        <w:ind w:firstLine="422" w:firstLineChars="200"/>
        <w:rPr>
          <w:rFonts w:asciiTheme="minorEastAsia" w:hAnsiTheme="minorEastAsia"/>
          <w:b/>
          <w:szCs w:val="21"/>
        </w:rPr>
      </w:pPr>
      <w:bookmarkStart w:id="3" w:name="_Toc512956298"/>
      <w:r>
        <w:rPr>
          <w:rFonts w:hint="eastAsia" w:asciiTheme="minorEastAsia" w:hAnsiTheme="minorEastAsia"/>
          <w:b/>
          <w:szCs w:val="21"/>
        </w:rPr>
        <w:t>（二）专业培养目标与岗位能力要求不匹配</w:t>
      </w:r>
      <w:bookmarkEnd w:id="3"/>
    </w:p>
    <w:p>
      <w:pPr>
        <w:spacing w:line="400" w:lineRule="exact"/>
        <w:ind w:firstLine="367" w:firstLineChars="175"/>
        <w:rPr>
          <w:rFonts w:asciiTheme="minorEastAsia" w:hAnsiTheme="minorEastAsia"/>
          <w:szCs w:val="21"/>
        </w:rPr>
      </w:pPr>
      <w:r>
        <w:rPr>
          <w:rFonts w:hint="eastAsia" w:asciiTheme="minorEastAsia" w:hAnsiTheme="minorEastAsia"/>
          <w:szCs w:val="21"/>
        </w:rPr>
        <w:t>地方应用型本科院校</w:t>
      </w:r>
      <w:r>
        <w:rPr>
          <w:rFonts w:asciiTheme="minorEastAsia" w:hAnsiTheme="minorEastAsia"/>
          <w:szCs w:val="21"/>
        </w:rPr>
        <w:t>人才培养方案存在一个共同的特征</w:t>
      </w:r>
      <w:r>
        <w:rPr>
          <w:rFonts w:hint="eastAsia" w:asciiTheme="minorEastAsia" w:hAnsiTheme="minorEastAsia"/>
          <w:szCs w:val="21"/>
        </w:rPr>
        <w:t>，</w:t>
      </w:r>
      <w:r>
        <w:rPr>
          <w:rFonts w:asciiTheme="minorEastAsia" w:hAnsiTheme="minorEastAsia"/>
          <w:szCs w:val="21"/>
        </w:rPr>
        <w:t>即</w:t>
      </w:r>
      <w:r>
        <w:rPr>
          <w:rFonts w:hint="eastAsia" w:asciiTheme="minorEastAsia" w:hAnsiTheme="minorEastAsia"/>
          <w:szCs w:val="21"/>
        </w:rPr>
        <w:t>重理论轻实践。生源的质量导致地方应用型本科院校人才培养的质量难以达到人才培养计划的目标，大部分学生的理论水平与实践能力与职业岗位能力要求有差距，故此学生就业后，工作单位需要进一步的培训才能满足工作岗位的要求。学生就业单位经常反馈学生理论水平不够，实践能力欠缺，很多学生需要半年到一年实践才能适应工作岗位的要求。</w:t>
      </w:r>
    </w:p>
    <w:p>
      <w:pPr>
        <w:spacing w:line="400" w:lineRule="exact"/>
        <w:ind w:firstLine="422" w:firstLineChars="200"/>
        <w:rPr>
          <w:rFonts w:asciiTheme="minorEastAsia" w:hAnsiTheme="minorEastAsia"/>
          <w:b/>
          <w:szCs w:val="21"/>
        </w:rPr>
      </w:pPr>
      <w:bookmarkStart w:id="4" w:name="_Toc512956299"/>
      <w:r>
        <w:rPr>
          <w:rFonts w:hint="eastAsia" w:asciiTheme="minorEastAsia" w:hAnsiTheme="minorEastAsia"/>
          <w:b/>
          <w:szCs w:val="21"/>
        </w:rPr>
        <w:t>（三）人才培养过程中教与学脱节</w:t>
      </w:r>
      <w:bookmarkEnd w:id="4"/>
    </w:p>
    <w:p>
      <w:pPr>
        <w:spacing w:line="400" w:lineRule="exact"/>
        <w:ind w:firstLine="367" w:firstLineChars="175"/>
        <w:rPr>
          <w:rFonts w:asciiTheme="minorEastAsia" w:hAnsiTheme="minorEastAsia"/>
          <w:szCs w:val="21"/>
        </w:rPr>
      </w:pPr>
      <w:r>
        <w:rPr>
          <w:rFonts w:asciiTheme="minorEastAsia" w:hAnsiTheme="minorEastAsia"/>
          <w:szCs w:val="21"/>
        </w:rPr>
        <w:t>社会</w:t>
      </w:r>
      <w:r>
        <w:rPr>
          <w:rFonts w:hint="eastAsia" w:asciiTheme="minorEastAsia" w:hAnsiTheme="minorEastAsia"/>
          <w:szCs w:val="21"/>
        </w:rPr>
        <w:t>、</w:t>
      </w:r>
      <w:r>
        <w:rPr>
          <w:rFonts w:asciiTheme="minorEastAsia" w:hAnsiTheme="minorEastAsia"/>
          <w:szCs w:val="21"/>
        </w:rPr>
        <w:t>学校对教师的评价主要依据教师的科研水平</w:t>
      </w:r>
      <w:r>
        <w:rPr>
          <w:rFonts w:hint="eastAsia" w:asciiTheme="minorEastAsia" w:hAnsiTheme="minorEastAsia"/>
          <w:szCs w:val="21"/>
        </w:rPr>
        <w:t>，</w:t>
      </w:r>
      <w:r>
        <w:rPr>
          <w:rFonts w:asciiTheme="minorEastAsia" w:hAnsiTheme="minorEastAsia"/>
          <w:szCs w:val="21"/>
        </w:rPr>
        <w:t>即发表论文的级别</w:t>
      </w:r>
      <w:r>
        <w:rPr>
          <w:rFonts w:hint="eastAsia" w:asciiTheme="minorEastAsia" w:hAnsiTheme="minorEastAsia"/>
          <w:szCs w:val="21"/>
        </w:rPr>
        <w:t>（SSCI、SCI、EI、CSSCI、CSCD等）和申报课题的级别（国家级：国家社科、自科；省部级：教育部科研课题、省级社科/自科、省级教改、省级教育规划等），且科研水平与教师的收入水平挂钩。从理性人的角度进行分析，教师最优的选择是花大部分时间进行科研，较少时间教学，所以很多教师科研水平突出，但教学水平不够，甚至对课程教学大纲都不熟悉，授课过程中只讲授自己熟悉的内容，没有形成整体体系，基本忽视学生应用能力的培养，课程教学效果难以满足人才培养目标的要求。大部分专业学生学习的主要目的就是通过考试，缺乏对职业能力要求的认知，故此学生上课时心不在蔫，经常做与课程教学无关的其它活动。教师与学生的交流缺乏交汇点，课堂上就会经常出现“教师一条线，学生一条线，两条线基本不交汇”的现象。教师与学生的相互漠视，导致教与学严重脱节，教与学的质量难以得到保证。</w:t>
      </w:r>
    </w:p>
    <w:p>
      <w:pPr>
        <w:spacing w:line="400" w:lineRule="exact"/>
        <w:ind w:firstLine="422" w:firstLineChars="200"/>
        <w:rPr>
          <w:rFonts w:asciiTheme="minorEastAsia" w:hAnsiTheme="minorEastAsia"/>
          <w:b/>
          <w:szCs w:val="21"/>
        </w:rPr>
      </w:pPr>
      <w:bookmarkStart w:id="5" w:name="_Toc512956300"/>
      <w:r>
        <w:rPr>
          <w:rFonts w:hint="eastAsia" w:asciiTheme="minorEastAsia" w:hAnsiTheme="minorEastAsia"/>
          <w:b/>
          <w:szCs w:val="21"/>
        </w:rPr>
        <w:t>（四）</w:t>
      </w:r>
      <w:bookmarkEnd w:id="5"/>
      <w:r>
        <w:rPr>
          <w:rFonts w:hint="eastAsia" w:asciiTheme="minorEastAsia" w:hAnsiTheme="minorEastAsia"/>
          <w:b/>
          <w:szCs w:val="21"/>
        </w:rPr>
        <w:t>实践、实验课程流于形式</w:t>
      </w:r>
    </w:p>
    <w:p>
      <w:pPr>
        <w:spacing w:line="400" w:lineRule="exact"/>
        <w:ind w:firstLine="367" w:firstLineChars="175"/>
        <w:rPr>
          <w:rFonts w:asciiTheme="minorEastAsia" w:hAnsiTheme="minorEastAsia"/>
          <w:szCs w:val="21"/>
        </w:rPr>
      </w:pPr>
      <w:r>
        <w:rPr>
          <w:rFonts w:asciiTheme="minorEastAsia" w:hAnsiTheme="minorEastAsia"/>
          <w:szCs w:val="21"/>
        </w:rPr>
        <w:t>地方应用型本科</w:t>
      </w:r>
      <w:r>
        <w:rPr>
          <w:rFonts w:hint="eastAsia" w:asciiTheme="minorEastAsia" w:hAnsiTheme="minorEastAsia"/>
          <w:szCs w:val="21"/>
        </w:rPr>
        <w:t>各类</w:t>
      </w:r>
      <w:r>
        <w:rPr>
          <w:rFonts w:asciiTheme="minorEastAsia" w:hAnsiTheme="minorEastAsia"/>
          <w:szCs w:val="21"/>
        </w:rPr>
        <w:t>专业课程实验与实践课时一般占总教学课时的</w:t>
      </w:r>
      <w:r>
        <w:rPr>
          <w:rFonts w:hint="eastAsia" w:asciiTheme="minorEastAsia" w:hAnsiTheme="minorEastAsia"/>
          <w:szCs w:val="21"/>
        </w:rPr>
        <w:t>20%左右。课程实验和实践环节主要培养学生的动手应用能力，服务于人才培养目标和培养规格，实际上流于形式。实践课程培养存在的问题主要表现为：（1）没有标准的实践内容；（2）缺乏标准的考核指标。实验课程培养存在的问题主要表型为：（1）具体的实验内容没有与职业岗位能力要求与课程授课目标相一致；（2）实验课程开展个性化太强，并缺乏绩效评价。实践、实验课程培养没有形成数据库文件，难以对实践实验教学效果进行评价。故此实践、实验教学需要一套反馈系统和考评指标体系，以确保实验、实践能力培养与职业岗位能力要求相匹配。</w:t>
      </w:r>
    </w:p>
    <w:p>
      <w:pPr>
        <w:spacing w:line="400" w:lineRule="exact"/>
        <w:ind w:firstLine="422" w:firstLineChars="200"/>
        <w:rPr>
          <w:rFonts w:asciiTheme="minorEastAsia" w:hAnsiTheme="minorEastAsia"/>
          <w:b/>
          <w:szCs w:val="21"/>
        </w:rPr>
      </w:pPr>
      <w:bookmarkStart w:id="6" w:name="_Toc512956301"/>
      <w:r>
        <w:rPr>
          <w:rFonts w:hint="eastAsia" w:asciiTheme="minorEastAsia" w:hAnsiTheme="minorEastAsia"/>
          <w:b/>
          <w:szCs w:val="21"/>
        </w:rPr>
        <w:t>（五）人才培养</w:t>
      </w:r>
      <w:r>
        <w:rPr>
          <w:rFonts w:asciiTheme="minorEastAsia" w:hAnsiTheme="minorEastAsia"/>
          <w:b/>
          <w:szCs w:val="21"/>
        </w:rPr>
        <w:t>方案</w:t>
      </w:r>
      <w:r>
        <w:rPr>
          <w:rFonts w:hint="eastAsia" w:asciiTheme="minorEastAsia" w:hAnsiTheme="minorEastAsia"/>
          <w:b/>
          <w:szCs w:val="21"/>
        </w:rPr>
        <w:t>缺数据处理技术与工具</w:t>
      </w:r>
      <w:bookmarkEnd w:id="6"/>
      <w:r>
        <w:rPr>
          <w:rFonts w:hint="eastAsia" w:asciiTheme="minorEastAsia" w:hAnsiTheme="minorEastAsia"/>
          <w:b/>
          <w:szCs w:val="21"/>
        </w:rPr>
        <w:t>的课程</w:t>
      </w:r>
    </w:p>
    <w:p>
      <w:pPr>
        <w:spacing w:line="400" w:lineRule="exact"/>
        <w:ind w:firstLine="367" w:firstLineChars="175"/>
        <w:rPr>
          <w:rFonts w:asciiTheme="minorEastAsia" w:hAnsiTheme="minorEastAsia"/>
          <w:szCs w:val="21"/>
        </w:rPr>
      </w:pPr>
      <w:r>
        <w:rPr>
          <w:rFonts w:hint="eastAsia" w:asciiTheme="minorEastAsia" w:hAnsiTheme="minorEastAsia"/>
          <w:szCs w:val="21"/>
        </w:rPr>
        <w:t>高校人才培养要满足职业需求，就必须在人才培养过程中突出数据决策能力培养。分析地方应用型本科经济类专业课程设置，除了金融工程专业专门开设一个《SAS与金融分析》实践环节外，其他专业虽然设置了《计量经济学》和数学类课程，但都是进行理论讲授，很少涉及通过软件实现基本数理过程。即使掌握了这些理论，但要运用这些理论解决实际问题还有很长一段距离。故此人才培养计划中引入数据处理技术和统计类软件、数学类软件将是对接人工智能的一个契机。</w:t>
      </w:r>
    </w:p>
    <w:p>
      <w:pPr>
        <w:spacing w:line="400" w:lineRule="exact"/>
        <w:ind w:firstLine="482" w:firstLineChars="200"/>
        <w:rPr>
          <w:rFonts w:asciiTheme="minorEastAsia" w:hAnsiTheme="minorEastAsia"/>
          <w:b/>
          <w:sz w:val="24"/>
          <w:szCs w:val="24"/>
        </w:rPr>
      </w:pPr>
      <w:bookmarkStart w:id="7" w:name="_Toc512956302"/>
      <w:r>
        <w:rPr>
          <w:rFonts w:hint="eastAsia" w:asciiTheme="minorEastAsia" w:hAnsiTheme="minorEastAsia"/>
          <w:b/>
          <w:sz w:val="24"/>
          <w:szCs w:val="24"/>
        </w:rPr>
        <w:t>二、地方应用型本科院校专业改革引入人工智能思想进行改革的可行性</w:t>
      </w:r>
      <w:bookmarkEnd w:id="7"/>
    </w:p>
    <w:p>
      <w:pPr>
        <w:spacing w:line="400" w:lineRule="exact"/>
        <w:ind w:firstLine="422" w:firstLineChars="200"/>
        <w:rPr>
          <w:rFonts w:asciiTheme="minorEastAsia" w:hAnsiTheme="minorEastAsia"/>
          <w:b/>
          <w:szCs w:val="21"/>
        </w:rPr>
      </w:pPr>
      <w:bookmarkStart w:id="8" w:name="_Toc512956303"/>
      <w:r>
        <w:rPr>
          <w:rFonts w:hint="eastAsia" w:asciiTheme="minorEastAsia" w:hAnsiTheme="minorEastAsia"/>
          <w:b/>
          <w:szCs w:val="21"/>
        </w:rPr>
        <w:t>（一）办学积累的数据为专业改革引入人工智能思想提供了数据基础</w:t>
      </w:r>
      <w:bookmarkEnd w:id="8"/>
    </w:p>
    <w:p>
      <w:pPr>
        <w:spacing w:line="400" w:lineRule="exact"/>
        <w:ind w:firstLine="420" w:firstLineChars="200"/>
        <w:rPr>
          <w:rFonts w:asciiTheme="minorEastAsia" w:hAnsiTheme="minorEastAsia"/>
          <w:szCs w:val="21"/>
        </w:rPr>
      </w:pPr>
      <w:r>
        <w:rPr>
          <w:rFonts w:asciiTheme="minorEastAsia" w:hAnsiTheme="minorEastAsia"/>
          <w:szCs w:val="21"/>
        </w:rPr>
        <w:t>很多地方应用型本科院校在</w:t>
      </w:r>
      <w:r>
        <w:rPr>
          <w:rFonts w:hint="eastAsia" w:asciiTheme="minorEastAsia" w:hAnsiTheme="minorEastAsia"/>
          <w:szCs w:val="21"/>
        </w:rPr>
        <w:t>2000年左右由专科学校合并组建而成，其人才培养的经验已有10余年，积累了大量的数据资料，且涵盖学校各个规模方面：各种职称的专任教师、教辅人员、行政人员、工勤人员、辐射机构人员数目及性别、出生地、学历结构、年龄结构、婚姻状况、家庭状况等数据；本科专业、实验室、实习基地数目；固定资产总额、校舍面积、图书资料规模、教学科研仪器设备价格；各种制度文件；学生数据：生源地、高考分数、奖学金、就业范围等。地方应用型本科院校积累的宏观数据与微观数据是学校进行办学改革、专业改革、引入人工智能技术进行科学决策的数据基础和动力。</w:t>
      </w:r>
    </w:p>
    <w:p>
      <w:pPr>
        <w:spacing w:line="400" w:lineRule="exact"/>
        <w:ind w:firstLine="422" w:firstLineChars="200"/>
        <w:rPr>
          <w:rFonts w:asciiTheme="minorEastAsia" w:hAnsiTheme="minorEastAsia"/>
          <w:b/>
          <w:szCs w:val="21"/>
        </w:rPr>
      </w:pPr>
      <w:bookmarkStart w:id="9" w:name="_Toc512956304"/>
      <w:r>
        <w:rPr>
          <w:rFonts w:hint="eastAsia" w:asciiTheme="minorEastAsia" w:hAnsiTheme="minorEastAsia"/>
          <w:b/>
          <w:szCs w:val="21"/>
        </w:rPr>
        <w:t>（二）高校制度改革为引入人工智能思想提供了制度契机</w:t>
      </w:r>
      <w:bookmarkEnd w:id="9"/>
    </w:p>
    <w:p>
      <w:pPr>
        <w:spacing w:line="400" w:lineRule="exact"/>
        <w:rPr>
          <w:rFonts w:asciiTheme="minorEastAsia" w:hAnsiTheme="minorEastAsia"/>
          <w:szCs w:val="21"/>
        </w:rPr>
      </w:pPr>
      <w:r>
        <w:rPr>
          <w:rFonts w:asciiTheme="minorEastAsia" w:hAnsiTheme="minorEastAsia"/>
          <w:szCs w:val="21"/>
        </w:rPr>
        <w:tab/>
      </w:r>
      <w:r>
        <w:rPr>
          <w:rFonts w:asciiTheme="minorEastAsia" w:hAnsiTheme="minorEastAsia"/>
          <w:szCs w:val="21"/>
        </w:rPr>
        <w:t>教育部于</w:t>
      </w:r>
      <w:r>
        <w:rPr>
          <w:rFonts w:ascii="Times New Roman" w:hAnsi="Times New Roman" w:cs="Times New Roman"/>
          <w:szCs w:val="21"/>
        </w:rPr>
        <w:t>2010年7月29日发布的《国家中长期教育改革和发展规划纲要（2010-2020年）》明确了建设现代学校制度和推进管理体制改革的战略部署</w:t>
      </w:r>
      <w:r>
        <w:rPr>
          <w:rFonts w:ascii="Times New Roman" w:hAnsi="Times New Roman" w:cs="Times New Roman"/>
          <w:szCs w:val="21"/>
          <w:vertAlign w:val="superscript"/>
        </w:rPr>
        <w:t>[9]</w:t>
      </w:r>
      <w:r>
        <w:rPr>
          <w:rFonts w:ascii="Times New Roman" w:hAnsi="Times New Roman" w:cs="Times New Roman"/>
          <w:szCs w:val="21"/>
        </w:rPr>
        <w:t>，因此地方应用型本科院校必须根</w:t>
      </w:r>
      <w:r>
        <w:rPr>
          <w:rFonts w:hint="eastAsia" w:asciiTheme="minorEastAsia" w:hAnsiTheme="minorEastAsia"/>
          <w:szCs w:val="21"/>
        </w:rPr>
        <w:t>据教育部的要求，结合本身建设进程进行制度改革，探索更为有效的院校管理制度和人才培养制度。制度改革是建立在科学决策的基础上。利用积累的数据资源，结合人工智能的核心算法技术，为院校改革提供科学合理的数据分析结论。</w:t>
      </w:r>
    </w:p>
    <w:p>
      <w:pPr>
        <w:spacing w:line="400" w:lineRule="exact"/>
        <w:ind w:firstLine="422" w:firstLineChars="200"/>
        <w:rPr>
          <w:rFonts w:asciiTheme="minorEastAsia" w:hAnsiTheme="minorEastAsia"/>
          <w:b/>
          <w:szCs w:val="21"/>
        </w:rPr>
      </w:pPr>
      <w:bookmarkStart w:id="10" w:name="_Toc512956305"/>
      <w:r>
        <w:rPr>
          <w:rFonts w:hint="eastAsia" w:asciiTheme="minorEastAsia" w:hAnsiTheme="minorEastAsia"/>
          <w:b/>
          <w:szCs w:val="21"/>
        </w:rPr>
        <w:t>（三）人工智能的数据驱动思想可以客观评价教师教学效果</w:t>
      </w:r>
      <w:bookmarkEnd w:id="10"/>
    </w:p>
    <w:p>
      <w:pPr>
        <w:spacing w:line="400" w:lineRule="exact"/>
        <w:ind w:firstLine="420" w:firstLineChars="200"/>
        <w:rPr>
          <w:rFonts w:asciiTheme="minorEastAsia" w:hAnsiTheme="minorEastAsia"/>
          <w:szCs w:val="21"/>
        </w:rPr>
      </w:pPr>
      <w:r>
        <w:rPr>
          <w:rFonts w:asciiTheme="minorEastAsia" w:hAnsiTheme="minorEastAsia"/>
          <w:szCs w:val="21"/>
        </w:rPr>
        <w:t>教师是人才培养的核心</w:t>
      </w:r>
      <w:r>
        <w:rPr>
          <w:rFonts w:hint="eastAsia" w:asciiTheme="minorEastAsia" w:hAnsiTheme="minorEastAsia"/>
          <w:szCs w:val="21"/>
        </w:rPr>
        <w:t>，而学校</w:t>
      </w:r>
      <w:r>
        <w:rPr>
          <w:rFonts w:asciiTheme="minorEastAsia" w:hAnsiTheme="minorEastAsia"/>
          <w:szCs w:val="21"/>
        </w:rPr>
        <w:t>对教师的评价</w:t>
      </w:r>
      <w:r>
        <w:rPr>
          <w:rFonts w:hint="eastAsia" w:asciiTheme="minorEastAsia" w:hAnsiTheme="minorEastAsia"/>
          <w:szCs w:val="21"/>
        </w:rPr>
        <w:t>通常赋予</w:t>
      </w:r>
      <w:r>
        <w:rPr>
          <w:rFonts w:asciiTheme="minorEastAsia" w:hAnsiTheme="minorEastAsia"/>
          <w:szCs w:val="21"/>
        </w:rPr>
        <w:t>教师的科研水平</w:t>
      </w:r>
      <w:r>
        <w:rPr>
          <w:rFonts w:hint="eastAsia" w:asciiTheme="minorEastAsia" w:hAnsiTheme="minorEastAsia"/>
          <w:szCs w:val="21"/>
        </w:rPr>
        <w:t>较</w:t>
      </w:r>
      <w:r>
        <w:rPr>
          <w:rFonts w:asciiTheme="minorEastAsia" w:hAnsiTheme="minorEastAsia"/>
          <w:szCs w:val="21"/>
        </w:rPr>
        <w:t>大的权重</w:t>
      </w:r>
      <w:r>
        <w:rPr>
          <w:rFonts w:hint="eastAsia" w:asciiTheme="minorEastAsia" w:hAnsiTheme="minorEastAsia"/>
          <w:szCs w:val="21"/>
        </w:rPr>
        <w:t>、教学水平较小的权重。以职业为导向的人才培养，学生是核心，学生的现在和未来的绩效才是评价教师水平的关键。所以目前的教师评价标准难以发挥教师在人才培养中的核心作用，故此需要结合科研水平、教学水平、学生绩效等来共同对教师进行评价，发挥教师在人才培养中的核心作用，避免智力浪费。人工智能的数据驱动思想可对教师评价提供强大的支持，人工智能的核心算法可以通过数据分析、学习、为教师的科研水平、教学水平、学生绩效赋予合理的权重，从而客观公正地对教师进行评价，同时也为教师的发展提供方向性指导。</w:t>
      </w:r>
    </w:p>
    <w:p>
      <w:pPr>
        <w:spacing w:line="400" w:lineRule="exact"/>
        <w:ind w:firstLine="422" w:firstLineChars="200"/>
        <w:rPr>
          <w:rFonts w:asciiTheme="minorEastAsia" w:hAnsiTheme="minorEastAsia"/>
          <w:b/>
          <w:szCs w:val="21"/>
        </w:rPr>
      </w:pPr>
      <w:bookmarkStart w:id="11" w:name="_Toc512956306"/>
      <w:r>
        <w:rPr>
          <w:rFonts w:hint="eastAsia" w:asciiTheme="minorEastAsia" w:hAnsiTheme="minorEastAsia"/>
          <w:b/>
          <w:szCs w:val="21"/>
        </w:rPr>
        <w:t>（四）人工智能技术可以为学校生源定向提供合理支撑</w:t>
      </w:r>
      <w:bookmarkEnd w:id="11"/>
    </w:p>
    <w:p>
      <w:pPr>
        <w:spacing w:line="400" w:lineRule="exact"/>
        <w:ind w:firstLine="420" w:firstLineChars="200"/>
        <w:rPr>
          <w:rFonts w:asciiTheme="minorEastAsia" w:hAnsiTheme="minorEastAsia"/>
          <w:szCs w:val="21"/>
        </w:rPr>
      </w:pPr>
      <w:r>
        <w:rPr>
          <w:rFonts w:asciiTheme="minorEastAsia" w:hAnsiTheme="minorEastAsia"/>
          <w:szCs w:val="21"/>
        </w:rPr>
        <w:t>高校自主招生是高校改革的一个方向</w:t>
      </w:r>
      <w:r>
        <w:rPr>
          <w:rFonts w:hint="eastAsia" w:asciiTheme="minorEastAsia" w:hAnsiTheme="minorEastAsia"/>
          <w:szCs w:val="21"/>
        </w:rPr>
        <w:t>，</w:t>
      </w:r>
      <w:r>
        <w:rPr>
          <w:rFonts w:asciiTheme="minorEastAsia" w:hAnsiTheme="minorEastAsia"/>
          <w:szCs w:val="21"/>
        </w:rPr>
        <w:t>地方应用型本科院校因其社会影响力</w:t>
      </w:r>
      <w:r>
        <w:rPr>
          <w:rFonts w:hint="eastAsia" w:asciiTheme="minorEastAsia" w:hAnsiTheme="minorEastAsia"/>
          <w:szCs w:val="21"/>
        </w:rPr>
        <w:t>、品牌度、教师水平，难以确保其区域招生的竞争力。如何确保院校招生的质量，需要对生源进行数据分析，找到适合本院校人才培养合适的学生。人工智能算法技术可以实现这一功能，如通过KNN-</w:t>
      </w:r>
      <w:r>
        <w:rPr>
          <w:rFonts w:asciiTheme="minorEastAsia" w:hAnsiTheme="minorEastAsia"/>
          <w:szCs w:val="21"/>
        </w:rPr>
        <w:t xml:space="preserve"> K最邻近结点算法等</w:t>
      </w:r>
      <w:r>
        <w:rPr>
          <w:rFonts w:hint="eastAsia" w:asciiTheme="minorEastAsia" w:hAnsiTheme="minorEastAsia"/>
          <w:szCs w:val="21"/>
        </w:rPr>
        <w:t>，</w:t>
      </w:r>
      <w:r>
        <w:rPr>
          <w:rFonts w:asciiTheme="minorEastAsia" w:hAnsiTheme="minorEastAsia"/>
          <w:szCs w:val="21"/>
        </w:rPr>
        <w:t>对生源进行分类</w:t>
      </w:r>
      <w:r>
        <w:rPr>
          <w:rFonts w:hint="eastAsia" w:asciiTheme="minorEastAsia" w:hAnsiTheme="minorEastAsia"/>
          <w:szCs w:val="21"/>
        </w:rPr>
        <w:t>，</w:t>
      </w:r>
      <w:r>
        <w:rPr>
          <w:rFonts w:asciiTheme="minorEastAsia" w:hAnsiTheme="minorEastAsia"/>
          <w:szCs w:val="21"/>
        </w:rPr>
        <w:t>找出对本院校有较高认可度的区域</w:t>
      </w:r>
      <w:r>
        <w:rPr>
          <w:rFonts w:hint="eastAsia" w:asciiTheme="minorEastAsia" w:hAnsiTheme="minorEastAsia"/>
          <w:szCs w:val="21"/>
        </w:rPr>
        <w:t>，</w:t>
      </w:r>
      <w:r>
        <w:rPr>
          <w:rFonts w:asciiTheme="minorEastAsia" w:hAnsiTheme="minorEastAsia"/>
          <w:szCs w:val="21"/>
        </w:rPr>
        <w:t>院校就可以有针对性的在认可度较高的区域进行宣传</w:t>
      </w:r>
      <w:r>
        <w:rPr>
          <w:rFonts w:hint="eastAsia" w:asciiTheme="minorEastAsia" w:hAnsiTheme="minorEastAsia"/>
          <w:szCs w:val="21"/>
        </w:rPr>
        <w:t>，</w:t>
      </w:r>
      <w:r>
        <w:rPr>
          <w:rFonts w:asciiTheme="minorEastAsia" w:hAnsiTheme="minorEastAsia"/>
          <w:szCs w:val="21"/>
        </w:rPr>
        <w:t>通过区域影响溢出</w:t>
      </w:r>
      <w:r>
        <w:rPr>
          <w:rFonts w:hint="eastAsia" w:asciiTheme="minorEastAsia" w:hAnsiTheme="minorEastAsia"/>
          <w:szCs w:val="21"/>
        </w:rPr>
        <w:t>，</w:t>
      </w:r>
      <w:r>
        <w:rPr>
          <w:rFonts w:asciiTheme="minorEastAsia" w:hAnsiTheme="minorEastAsia"/>
          <w:szCs w:val="21"/>
        </w:rPr>
        <w:t>提升院校影响力</w:t>
      </w:r>
      <w:r>
        <w:rPr>
          <w:rFonts w:hint="eastAsia" w:asciiTheme="minorEastAsia" w:hAnsiTheme="minorEastAsia"/>
          <w:szCs w:val="21"/>
        </w:rPr>
        <w:t>。</w:t>
      </w:r>
    </w:p>
    <w:p>
      <w:pPr>
        <w:spacing w:line="400" w:lineRule="exact"/>
        <w:ind w:firstLine="422" w:firstLineChars="200"/>
        <w:rPr>
          <w:rFonts w:asciiTheme="minorEastAsia" w:hAnsiTheme="minorEastAsia"/>
          <w:b/>
          <w:szCs w:val="21"/>
        </w:rPr>
      </w:pPr>
      <w:bookmarkStart w:id="12" w:name="_Toc512956307"/>
      <w:r>
        <w:rPr>
          <w:rFonts w:hint="eastAsia" w:asciiTheme="minorEastAsia" w:hAnsiTheme="minorEastAsia"/>
          <w:b/>
          <w:szCs w:val="21"/>
        </w:rPr>
        <w:t>（五）人工智能技术可为学生管理提供客观可靠的指标</w:t>
      </w:r>
      <w:bookmarkEnd w:id="12"/>
    </w:p>
    <w:p>
      <w:pPr>
        <w:spacing w:line="400" w:lineRule="exact"/>
        <w:ind w:firstLine="420" w:firstLineChars="200"/>
        <w:rPr>
          <w:rFonts w:asciiTheme="minorEastAsia" w:hAnsiTheme="minorEastAsia"/>
          <w:szCs w:val="21"/>
        </w:rPr>
      </w:pPr>
      <w:r>
        <w:rPr>
          <w:rFonts w:asciiTheme="minorEastAsia" w:hAnsiTheme="minorEastAsia"/>
          <w:szCs w:val="21"/>
        </w:rPr>
        <w:t>学生在学校生活</w:t>
      </w:r>
      <w:r>
        <w:rPr>
          <w:rFonts w:hint="eastAsia" w:asciiTheme="minorEastAsia" w:hAnsiTheme="minorEastAsia"/>
          <w:szCs w:val="21"/>
        </w:rPr>
        <w:t>将</w:t>
      </w:r>
      <w:r>
        <w:rPr>
          <w:rFonts w:asciiTheme="minorEastAsia" w:hAnsiTheme="minorEastAsia"/>
          <w:szCs w:val="21"/>
        </w:rPr>
        <w:t>连续产生大量数据</w:t>
      </w:r>
      <w:r>
        <w:rPr>
          <w:rFonts w:hint="eastAsia" w:asciiTheme="minorEastAsia" w:hAnsiTheme="minorEastAsia"/>
          <w:szCs w:val="21"/>
        </w:rPr>
        <w:t>，如每月学生基本生活花费（早、中、晚餐费）、电费、水费、洗涤费等；学习数据：上课时间、自习时间、活动时间、出入宿舍时间、借阅图书数量及类型、上网时间；学生绩效：各科目成绩、毕业去向（就业区域、行业、基本工资等）、各种奖惩信息。利用人工智能技术对学生数据进行客观处理可以为院校提供决策需要的客观数据分析结果：如生活花费情况指导学校餐费定价；学习时间指导专业学生周课时安排；生活时间指导宿舍管理；学生绩效指导评优评奖；图书馆借阅信息指导学生思想辅导等。</w:t>
      </w:r>
    </w:p>
    <w:p>
      <w:pPr>
        <w:spacing w:line="400" w:lineRule="exact"/>
        <w:ind w:firstLine="422" w:firstLineChars="200"/>
        <w:rPr>
          <w:rFonts w:asciiTheme="minorEastAsia" w:hAnsiTheme="minorEastAsia"/>
          <w:b/>
          <w:szCs w:val="21"/>
        </w:rPr>
      </w:pPr>
      <w:bookmarkStart w:id="13" w:name="_Toc512956308"/>
      <w:r>
        <w:rPr>
          <w:rFonts w:hint="eastAsia" w:asciiTheme="minorEastAsia" w:hAnsiTheme="minorEastAsia"/>
          <w:b/>
          <w:szCs w:val="21"/>
        </w:rPr>
        <w:t>（六）人工智能技术可为学生就业提供方向指导</w:t>
      </w:r>
      <w:bookmarkEnd w:id="13"/>
    </w:p>
    <w:p>
      <w:pPr>
        <w:spacing w:line="400" w:lineRule="exact"/>
        <w:ind w:firstLine="420" w:firstLineChars="200"/>
        <w:rPr>
          <w:rFonts w:asciiTheme="minorEastAsia" w:hAnsiTheme="minorEastAsia"/>
          <w:szCs w:val="21"/>
        </w:rPr>
      </w:pPr>
      <w:r>
        <w:rPr>
          <w:rFonts w:asciiTheme="minorEastAsia" w:hAnsiTheme="minorEastAsia"/>
          <w:szCs w:val="21"/>
        </w:rPr>
        <w:t>人工智能技术可以对院校多年办学积累的学生就业信息进行深度挖掘</w:t>
      </w:r>
      <w:r>
        <w:rPr>
          <w:rFonts w:hint="eastAsia" w:asciiTheme="minorEastAsia" w:hAnsiTheme="minorEastAsia"/>
          <w:szCs w:val="21"/>
        </w:rPr>
        <w:t xml:space="preserve">、找出本院校人才就业聚集的区域和行业，为院校学生就业指导、就业导向提供确切的数据支持。以就业为导向的人才培养，收集更多的学生就业变化信息，通过人工智能技术进行处理，也能更有效的对教学效果进行评价，更有利于教学改革、专业改革、培养经费的使用。 </w:t>
      </w:r>
    </w:p>
    <w:p>
      <w:pPr>
        <w:spacing w:line="400" w:lineRule="exact"/>
        <w:ind w:firstLine="482" w:firstLineChars="200"/>
        <w:rPr>
          <w:rFonts w:asciiTheme="minorEastAsia" w:hAnsiTheme="minorEastAsia"/>
          <w:b/>
          <w:sz w:val="24"/>
          <w:szCs w:val="24"/>
        </w:rPr>
      </w:pPr>
      <w:bookmarkStart w:id="14" w:name="_Toc512956309"/>
      <w:r>
        <w:rPr>
          <w:rFonts w:hint="eastAsia" w:asciiTheme="minorEastAsia" w:hAnsiTheme="minorEastAsia"/>
          <w:b/>
          <w:sz w:val="24"/>
          <w:szCs w:val="24"/>
        </w:rPr>
        <w:t>三、地方应用型本科院校经济类专业人才培养</w:t>
      </w:r>
      <w:bookmarkEnd w:id="14"/>
      <w:r>
        <w:rPr>
          <w:rFonts w:hint="eastAsia" w:asciiTheme="minorEastAsia" w:hAnsiTheme="minorEastAsia"/>
          <w:b/>
          <w:sz w:val="24"/>
          <w:szCs w:val="24"/>
        </w:rPr>
        <w:t>引入人工智能思想的策略</w:t>
      </w:r>
    </w:p>
    <w:p>
      <w:pPr>
        <w:spacing w:line="400" w:lineRule="exact"/>
        <w:ind w:firstLine="367" w:firstLineChars="175"/>
        <w:rPr>
          <w:rFonts w:asciiTheme="minorEastAsia" w:hAnsiTheme="minorEastAsia"/>
          <w:szCs w:val="21"/>
        </w:rPr>
      </w:pPr>
      <w:r>
        <w:rPr>
          <w:rFonts w:asciiTheme="minorEastAsia" w:hAnsiTheme="minorEastAsia"/>
          <w:szCs w:val="21"/>
        </w:rPr>
        <w:t>人工智能思想引入到学校专业改革是个系统工程</w:t>
      </w:r>
      <w:r>
        <w:rPr>
          <w:rFonts w:hint="eastAsia" w:asciiTheme="minorEastAsia" w:hAnsiTheme="minorEastAsia"/>
          <w:szCs w:val="21"/>
        </w:rPr>
        <w:t>，</w:t>
      </w:r>
      <w:r>
        <w:rPr>
          <w:rFonts w:asciiTheme="minorEastAsia" w:hAnsiTheme="minorEastAsia"/>
          <w:szCs w:val="21"/>
        </w:rPr>
        <w:t>需要以信息技术作为支撑</w:t>
      </w:r>
      <w:r>
        <w:rPr>
          <w:rFonts w:hint="eastAsia" w:asciiTheme="minorEastAsia" w:hAnsiTheme="minorEastAsia"/>
          <w:szCs w:val="21"/>
        </w:rPr>
        <w:t>、</w:t>
      </w:r>
      <w:r>
        <w:rPr>
          <w:rFonts w:asciiTheme="minorEastAsia" w:hAnsiTheme="minorEastAsia"/>
          <w:szCs w:val="21"/>
        </w:rPr>
        <w:t>数据采集为先行</w:t>
      </w:r>
      <w:r>
        <w:rPr>
          <w:rFonts w:hint="eastAsia" w:asciiTheme="minorEastAsia" w:hAnsiTheme="minorEastAsia"/>
          <w:szCs w:val="21"/>
        </w:rPr>
        <w:t>，</w:t>
      </w:r>
      <w:r>
        <w:rPr>
          <w:rFonts w:asciiTheme="minorEastAsia" w:hAnsiTheme="minorEastAsia"/>
          <w:szCs w:val="21"/>
        </w:rPr>
        <w:t>多方协作</w:t>
      </w:r>
      <w:r>
        <w:rPr>
          <w:rFonts w:hint="eastAsia" w:asciiTheme="minorEastAsia" w:hAnsiTheme="minorEastAsia"/>
          <w:szCs w:val="21"/>
        </w:rPr>
        <w:t>，</w:t>
      </w:r>
      <w:r>
        <w:rPr>
          <w:rFonts w:asciiTheme="minorEastAsia" w:hAnsiTheme="minorEastAsia"/>
          <w:szCs w:val="21"/>
        </w:rPr>
        <w:t>要达成理想的改革目标</w:t>
      </w:r>
      <w:r>
        <w:rPr>
          <w:rFonts w:hint="eastAsia" w:asciiTheme="minorEastAsia" w:hAnsiTheme="minorEastAsia"/>
          <w:szCs w:val="21"/>
        </w:rPr>
        <w:t>，</w:t>
      </w:r>
      <w:r>
        <w:rPr>
          <w:rFonts w:asciiTheme="minorEastAsia" w:hAnsiTheme="minorEastAsia"/>
          <w:szCs w:val="21"/>
        </w:rPr>
        <w:t>可尝试从如下几个方面处理</w:t>
      </w:r>
      <w:r>
        <w:rPr>
          <w:rFonts w:hint="eastAsia" w:asciiTheme="minorEastAsia" w:hAnsiTheme="minorEastAsia"/>
          <w:szCs w:val="21"/>
        </w:rPr>
        <w:t>。</w:t>
      </w:r>
    </w:p>
    <w:p>
      <w:pPr>
        <w:spacing w:line="400" w:lineRule="exact"/>
        <w:ind w:firstLine="422" w:firstLineChars="200"/>
        <w:rPr>
          <w:rFonts w:asciiTheme="minorEastAsia" w:hAnsiTheme="minorEastAsia"/>
          <w:b/>
          <w:szCs w:val="21"/>
        </w:rPr>
      </w:pPr>
      <w:bookmarkStart w:id="15" w:name="_Toc512956310"/>
      <w:r>
        <w:rPr>
          <w:rFonts w:hint="eastAsia" w:asciiTheme="minorEastAsia" w:hAnsiTheme="minorEastAsia"/>
          <w:b/>
          <w:szCs w:val="21"/>
        </w:rPr>
        <w:t>（一）建立数据部门</w:t>
      </w:r>
      <w:bookmarkEnd w:id="15"/>
      <w:r>
        <w:rPr>
          <w:rFonts w:hint="eastAsia" w:asciiTheme="minorEastAsia" w:hAnsiTheme="minorEastAsia"/>
          <w:b/>
          <w:szCs w:val="21"/>
        </w:rPr>
        <w:t>，数据驱动教学管理</w:t>
      </w:r>
    </w:p>
    <w:p>
      <w:pPr>
        <w:spacing w:line="400" w:lineRule="exact"/>
        <w:ind w:firstLine="367" w:firstLineChars="175"/>
        <w:rPr>
          <w:rFonts w:asciiTheme="minorEastAsia" w:hAnsiTheme="minorEastAsia"/>
          <w:szCs w:val="21"/>
        </w:rPr>
      </w:pPr>
      <w:r>
        <w:rPr>
          <w:rFonts w:asciiTheme="minorEastAsia" w:hAnsiTheme="minorEastAsia"/>
          <w:szCs w:val="21"/>
        </w:rPr>
        <w:t>人工智能思想引入专业改革是建立在院校大量连续数据基础上的</w:t>
      </w:r>
      <w:r>
        <w:rPr>
          <w:rFonts w:hint="eastAsia" w:asciiTheme="minorEastAsia" w:hAnsiTheme="minorEastAsia"/>
          <w:szCs w:val="21"/>
        </w:rPr>
        <w:t>，</w:t>
      </w:r>
      <w:r>
        <w:rPr>
          <w:rFonts w:asciiTheme="minorEastAsia" w:hAnsiTheme="minorEastAsia"/>
          <w:szCs w:val="21"/>
        </w:rPr>
        <w:t>要充分发挥人工智能在专业改革上的应用优势</w:t>
      </w:r>
      <w:r>
        <w:rPr>
          <w:rFonts w:hint="eastAsia" w:asciiTheme="minorEastAsia" w:hAnsiTheme="minorEastAsia"/>
          <w:szCs w:val="21"/>
        </w:rPr>
        <w:t>，</w:t>
      </w:r>
      <w:r>
        <w:rPr>
          <w:rFonts w:asciiTheme="minorEastAsia" w:hAnsiTheme="minorEastAsia"/>
          <w:szCs w:val="21"/>
        </w:rPr>
        <w:t>需要学校层面新建一个</w:t>
      </w:r>
      <w:r>
        <w:rPr>
          <w:rFonts w:hint="eastAsia" w:asciiTheme="minorEastAsia" w:hAnsiTheme="minorEastAsia"/>
          <w:szCs w:val="21"/>
        </w:rPr>
        <w:t>“数据中心”部门专门收集信息、进行数据分析、服务学校行政部门和各学院，具体见图1。</w:t>
      </w:r>
    </w:p>
    <w:p>
      <w:pPr>
        <w:spacing w:line="400" w:lineRule="exact"/>
        <w:ind w:firstLine="367" w:firstLineChars="175"/>
        <w:rPr>
          <w:rFonts w:asciiTheme="minorEastAsia" w:hAnsiTheme="minorEastAsia"/>
          <w:szCs w:val="21"/>
        </w:rPr>
      </w:pPr>
      <w:r>
        <w:rPr>
          <w:rFonts w:hint="eastAsia" w:asciiTheme="minorEastAsia" w:hAnsiTheme="minorEastAsia"/>
          <w:szCs w:val="21"/>
        </w:rPr>
        <w:t>数据中心部门隶属学校，与网络中心、各行政部门、各学院同等级别。网络中心、各行政部门、各学院增加向数据中心传送数据的工作职责，数据中心在汇总数据的基础上，进行各种数据分析服务各行政部门和各学院。</w:t>
      </w:r>
    </w:p>
    <w:p>
      <w:pPr>
        <w:spacing w:line="400" w:lineRule="exact"/>
        <w:ind w:firstLine="367" w:firstLineChars="175"/>
        <w:rPr>
          <w:rFonts w:asciiTheme="minorEastAsia" w:hAnsiTheme="minorEastAsia"/>
          <w:szCs w:val="21"/>
        </w:rPr>
      </w:pPr>
      <w:r>
        <w:rPr>
          <w:rFonts w:asciiTheme="minorEastAsia" w:hAnsiTheme="minorEastAsia"/>
          <w:szCs w:val="21"/>
        </w:rPr>
        <mc:AlternateContent>
          <mc:Choice Requires="wpg">
            <w:drawing>
              <wp:anchor distT="0" distB="0" distL="114300" distR="114300" simplePos="0" relativeHeight="251662336" behindDoc="0" locked="0" layoutInCell="1" allowOverlap="1">
                <wp:simplePos x="0" y="0"/>
                <wp:positionH relativeFrom="column">
                  <wp:posOffset>409575</wp:posOffset>
                </wp:positionH>
                <wp:positionV relativeFrom="paragraph">
                  <wp:posOffset>12700</wp:posOffset>
                </wp:positionV>
                <wp:extent cx="4429125" cy="4267200"/>
                <wp:effectExtent l="0" t="0" r="28575" b="19050"/>
                <wp:wrapNone/>
                <wp:docPr id="46" name="组合 46"/>
                <wp:cNvGraphicFramePr/>
                <a:graphic xmlns:a="http://schemas.openxmlformats.org/drawingml/2006/main">
                  <a:graphicData uri="http://schemas.microsoft.com/office/word/2010/wordprocessingGroup">
                    <wpg:wgp>
                      <wpg:cNvGrpSpPr/>
                      <wpg:grpSpPr>
                        <a:xfrm>
                          <a:off x="0" y="0"/>
                          <a:ext cx="4429125" cy="4267200"/>
                          <a:chOff x="0" y="0"/>
                          <a:chExt cx="4429125" cy="4267200"/>
                        </a:xfrm>
                      </wpg:grpSpPr>
                      <wpg:grpSp>
                        <wpg:cNvPr id="44" name="组合 44"/>
                        <wpg:cNvGrpSpPr/>
                        <wpg:grpSpPr>
                          <a:xfrm>
                            <a:off x="0" y="0"/>
                            <a:ext cx="4429125" cy="4267200"/>
                            <a:chOff x="0" y="-57150"/>
                            <a:chExt cx="4429125" cy="4267200"/>
                          </a:xfrm>
                        </wpg:grpSpPr>
                        <wpg:grpSp>
                          <wpg:cNvPr id="43" name="组合 43"/>
                          <wpg:cNvGrpSpPr/>
                          <wpg:grpSpPr>
                            <a:xfrm>
                              <a:off x="0" y="-57150"/>
                              <a:ext cx="4429125" cy="4267200"/>
                              <a:chOff x="0" y="-57150"/>
                              <a:chExt cx="4429125" cy="4267200"/>
                            </a:xfrm>
                          </wpg:grpSpPr>
                          <wpg:grpSp>
                            <wpg:cNvPr id="19" name="组合 19"/>
                            <wpg:cNvGrpSpPr/>
                            <wpg:grpSpPr>
                              <a:xfrm>
                                <a:off x="238125" y="-57150"/>
                                <a:ext cx="1562100" cy="2209800"/>
                                <a:chOff x="219075" y="-544455"/>
                                <a:chExt cx="1562100" cy="2255600"/>
                              </a:xfrm>
                            </wpg:grpSpPr>
                            <wps:wsp>
                              <wps:cNvPr id="17" name="矩形 17"/>
                              <wps:cNvSpPr/>
                              <wps:spPr>
                                <a:xfrm>
                                  <a:off x="219075" y="-544455"/>
                                  <a:ext cx="1562100" cy="22556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6" name="组合 16"/>
                              <wpg:cNvGrpSpPr/>
                              <wpg:grpSpPr>
                                <a:xfrm>
                                  <a:off x="409575" y="356949"/>
                                  <a:ext cx="1066800" cy="1091692"/>
                                  <a:chOff x="161925" y="80724"/>
                                  <a:chExt cx="1066800" cy="1091692"/>
                                </a:xfrm>
                              </wpg:grpSpPr>
                              <wps:wsp>
                                <wps:cNvPr id="3" name="文本框 2"/>
                                <wps:cNvSpPr txBox="1">
                                  <a:spLocks noChangeArrowheads="1"/>
                                </wps:cNvSpPr>
                                <wps:spPr bwMode="auto">
                                  <a:xfrm>
                                    <a:off x="161925" y="80724"/>
                                    <a:ext cx="1038225" cy="298450"/>
                                  </a:xfrm>
                                  <a:prstGeom prst="rect">
                                    <a:avLst/>
                                  </a:prstGeom>
                                  <a:solidFill>
                                    <a:srgbClr val="FFFFFF"/>
                                  </a:solidFill>
                                  <a:ln w="9525">
                                    <a:solidFill>
                                      <a:srgbClr val="000000"/>
                                    </a:solidFill>
                                    <a:miter lim="800000"/>
                                  </a:ln>
                                </wps:spPr>
                                <wps:txbx>
                                  <w:txbxContent>
                                    <w:p>
                                      <w:pPr>
                                        <w:jc w:val="center"/>
                                      </w:pPr>
                                      <w:r>
                                        <w:rPr>
                                          <w:rFonts w:hint="eastAsia"/>
                                        </w:rPr>
                                        <w:t>院校</w:t>
                                      </w:r>
                                    </w:p>
                                  </w:txbxContent>
                                </wps:txbx>
                                <wps:bodyPr rot="0" vert="horz" wrap="square" lIns="91440" tIns="45720" rIns="91440" bIns="45720" anchor="t" anchorCtr="0">
                                  <a:noAutofit/>
                                </wps:bodyPr>
                              </wps:wsp>
                              <wps:wsp>
                                <wps:cNvPr id="9" name="文本框 2"/>
                                <wps:cNvSpPr txBox="1">
                                  <a:spLocks noChangeArrowheads="1"/>
                                </wps:cNvSpPr>
                                <wps:spPr bwMode="auto">
                                  <a:xfrm>
                                    <a:off x="190500" y="861299"/>
                                    <a:ext cx="1038225" cy="311117"/>
                                  </a:xfrm>
                                  <a:prstGeom prst="rect">
                                    <a:avLst/>
                                  </a:prstGeom>
                                  <a:solidFill>
                                    <a:srgbClr val="FFFFFF"/>
                                  </a:solidFill>
                                  <a:ln w="9525">
                                    <a:solidFill>
                                      <a:srgbClr val="000000"/>
                                    </a:solidFill>
                                    <a:miter lim="800000"/>
                                  </a:ln>
                                </wps:spPr>
                                <wps:txbx>
                                  <w:txbxContent>
                                    <w:p>
                                      <w:pPr>
                                        <w:jc w:val="center"/>
                                      </w:pPr>
                                      <w:r>
                                        <w:rPr>
                                          <w:rFonts w:hint="eastAsia"/>
                                        </w:rPr>
                                        <w:t>数据中心</w:t>
                                      </w:r>
                                    </w:p>
                                  </w:txbxContent>
                                </wps:txbx>
                                <wps:bodyPr rot="0" vert="horz" wrap="square" lIns="91440" tIns="45720" rIns="91440" bIns="45720" anchor="t" anchorCtr="0">
                                  <a:noAutofit/>
                                </wps:bodyPr>
                              </wps:wsp>
                              <wps:wsp>
                                <wps:cNvPr id="15" name="直接箭头连接符 15"/>
                                <wps:cNvCnPr/>
                                <wps:spPr>
                                  <a:xfrm>
                                    <a:off x="685800" y="372660"/>
                                    <a:ext cx="0" cy="4594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21" name="组合 21"/>
                            <wpg:cNvGrpSpPr/>
                            <wpg:grpSpPr>
                              <a:xfrm>
                                <a:off x="3095625" y="0"/>
                                <a:ext cx="1333500" cy="2352675"/>
                                <a:chOff x="0" y="0"/>
                                <a:chExt cx="1333500" cy="2352675"/>
                              </a:xfrm>
                            </wpg:grpSpPr>
                            <wpg:grpSp>
                              <wpg:cNvPr id="12" name="组合 12"/>
                              <wpg:cNvGrpSpPr/>
                              <wpg:grpSpPr>
                                <a:xfrm>
                                  <a:off x="133350" y="247650"/>
                                  <a:ext cx="1085850" cy="1879600"/>
                                  <a:chOff x="0" y="0"/>
                                  <a:chExt cx="1085850" cy="1879600"/>
                                </a:xfrm>
                              </wpg:grpSpPr>
                              <wps:wsp>
                                <wps:cNvPr id="217" name="文本框 2"/>
                                <wps:cNvSpPr txBox="1">
                                  <a:spLocks noChangeArrowheads="1"/>
                                </wps:cNvSpPr>
                                <wps:spPr bwMode="auto">
                                  <a:xfrm>
                                    <a:off x="0" y="1066800"/>
                                    <a:ext cx="1038225" cy="298450"/>
                                  </a:xfrm>
                                  <a:prstGeom prst="rect">
                                    <a:avLst/>
                                  </a:prstGeom>
                                  <a:solidFill>
                                    <a:srgbClr val="FFFFFF"/>
                                  </a:solidFill>
                                  <a:ln w="9525">
                                    <a:solidFill>
                                      <a:srgbClr val="000000"/>
                                    </a:solidFill>
                                    <a:miter lim="800000"/>
                                  </a:ln>
                                </wps:spPr>
                                <wps:txbx>
                                  <w:txbxContent>
                                    <w:p>
                                      <w:pPr>
                                        <w:jc w:val="center"/>
                                      </w:pPr>
                                      <w:r>
                                        <w:rPr>
                                          <w:rFonts w:hint="eastAsia"/>
                                        </w:rPr>
                                        <w:t>提供决策</w:t>
                                      </w:r>
                                      <w:r>
                                        <w:t>数据</w:t>
                                      </w:r>
                                    </w:p>
                                  </w:txbxContent>
                                </wps:txbx>
                                <wps:bodyPr rot="0" vert="horz" wrap="square" lIns="91440" tIns="45720" rIns="91440" bIns="45720" anchor="t" anchorCtr="0">
                                  <a:noAutofit/>
                                </wps:bodyPr>
                              </wps:wsp>
                              <wps:wsp>
                                <wps:cNvPr id="2" name="文本框 2"/>
                                <wps:cNvSpPr txBox="1">
                                  <a:spLocks noChangeArrowheads="1"/>
                                </wps:cNvSpPr>
                                <wps:spPr bwMode="auto">
                                  <a:xfrm>
                                    <a:off x="28575" y="0"/>
                                    <a:ext cx="1057275" cy="295275"/>
                                  </a:xfrm>
                                  <a:prstGeom prst="rect">
                                    <a:avLst/>
                                  </a:prstGeom>
                                  <a:solidFill>
                                    <a:srgbClr val="FFFFFF"/>
                                  </a:solidFill>
                                  <a:ln w="9525">
                                    <a:solidFill>
                                      <a:srgbClr val="000000"/>
                                    </a:solidFill>
                                    <a:miter lim="800000"/>
                                  </a:ln>
                                </wps:spPr>
                                <wps:txbx>
                                  <w:txbxContent>
                                    <w:p>
                                      <w:pPr>
                                        <w:jc w:val="center"/>
                                      </w:pPr>
                                      <w:r>
                                        <w:rPr>
                                          <w:rFonts w:hint="eastAsia"/>
                                        </w:rPr>
                                        <w:t>人工智能</w:t>
                                      </w:r>
                                      <w:r>
                                        <w:t>平台</w:t>
                                      </w:r>
                                    </w:p>
                                  </w:txbxContent>
                                </wps:txbx>
                                <wps:bodyPr rot="0" vert="horz" wrap="square" lIns="91440" tIns="45720" rIns="91440" bIns="45720" anchor="t" anchorCtr="0">
                                  <a:noAutofit/>
                                </wps:bodyPr>
                              </wps:wsp>
                              <wps:wsp>
                                <wps:cNvPr id="10" name="文本框 2"/>
                                <wps:cNvSpPr txBox="1">
                                  <a:spLocks noChangeArrowheads="1"/>
                                </wps:cNvSpPr>
                                <wps:spPr bwMode="auto">
                                  <a:xfrm>
                                    <a:off x="0" y="1581150"/>
                                    <a:ext cx="1038225" cy="298450"/>
                                  </a:xfrm>
                                  <a:prstGeom prst="rect">
                                    <a:avLst/>
                                  </a:prstGeom>
                                  <a:solidFill>
                                    <a:srgbClr val="FFFFFF"/>
                                  </a:solidFill>
                                  <a:ln w="9525">
                                    <a:solidFill>
                                      <a:srgbClr val="000000"/>
                                    </a:solidFill>
                                    <a:miter lim="800000"/>
                                  </a:ln>
                                </wps:spPr>
                                <wps:txbx>
                                  <w:txbxContent>
                                    <w:p>
                                      <w:pPr>
                                        <w:jc w:val="center"/>
                                      </w:pPr>
                                      <w:r>
                                        <w:rPr>
                                          <w:rFonts w:hint="eastAsia"/>
                                        </w:rPr>
                                        <w:t>数据发布</w:t>
                                      </w:r>
                                    </w:p>
                                  </w:txbxContent>
                                </wps:txbx>
                                <wps:bodyPr rot="0" vert="horz" wrap="square" lIns="91440" tIns="45720" rIns="91440" bIns="45720" anchor="t" anchorCtr="0">
                                  <a:noAutofit/>
                                </wps:bodyPr>
                              </wps:wsp>
                              <wps:wsp>
                                <wps:cNvPr id="11" name="文本框 2"/>
                                <wps:cNvSpPr txBox="1">
                                  <a:spLocks noChangeArrowheads="1"/>
                                </wps:cNvSpPr>
                                <wps:spPr bwMode="auto">
                                  <a:xfrm>
                                    <a:off x="19050" y="523875"/>
                                    <a:ext cx="1038225" cy="298450"/>
                                  </a:xfrm>
                                  <a:prstGeom prst="rect">
                                    <a:avLst/>
                                  </a:prstGeom>
                                  <a:solidFill>
                                    <a:srgbClr val="FFFFFF"/>
                                  </a:solidFill>
                                  <a:ln w="9525">
                                    <a:solidFill>
                                      <a:srgbClr val="000000"/>
                                    </a:solidFill>
                                    <a:miter lim="800000"/>
                                  </a:ln>
                                </wps:spPr>
                                <wps:txbx>
                                  <w:txbxContent>
                                    <w:p>
                                      <w:pPr>
                                        <w:jc w:val="center"/>
                                      </w:pPr>
                                      <w:r>
                                        <w:rPr>
                                          <w:rFonts w:hint="eastAsia"/>
                                        </w:rPr>
                                        <w:t>数据采集</w:t>
                                      </w:r>
                                    </w:p>
                                  </w:txbxContent>
                                </wps:txbx>
                                <wps:bodyPr rot="0" vert="horz" wrap="square" lIns="91440" tIns="45720" rIns="91440" bIns="45720" anchor="t" anchorCtr="0">
                                  <a:noAutofit/>
                                </wps:bodyPr>
                              </wps:wsp>
                            </wpg:grpSp>
                            <wps:wsp>
                              <wps:cNvPr id="20" name="矩形 20"/>
                              <wps:cNvSpPr/>
                              <wps:spPr>
                                <a:xfrm>
                                  <a:off x="0" y="0"/>
                                  <a:ext cx="1333500" cy="235267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3" name="组合 23"/>
                            <wpg:cNvGrpSpPr/>
                            <wpg:grpSpPr>
                              <a:xfrm>
                                <a:off x="0" y="2790825"/>
                                <a:ext cx="2200275" cy="1419225"/>
                                <a:chOff x="0" y="-323850"/>
                                <a:chExt cx="2200275" cy="1419225"/>
                              </a:xfrm>
                            </wpg:grpSpPr>
                            <wpg:grpSp>
                              <wpg:cNvPr id="14" name="组合 14"/>
                              <wpg:cNvGrpSpPr/>
                              <wpg:grpSpPr>
                                <a:xfrm>
                                  <a:off x="209550" y="-219075"/>
                                  <a:ext cx="1752600" cy="1123950"/>
                                  <a:chOff x="9525" y="-352425"/>
                                  <a:chExt cx="1752600" cy="1123950"/>
                                </a:xfrm>
                              </wpg:grpSpPr>
                              <wps:wsp>
                                <wps:cNvPr id="6" name="文本框 2"/>
                                <wps:cNvSpPr txBox="1">
                                  <a:spLocks noChangeArrowheads="1"/>
                                </wps:cNvSpPr>
                                <wps:spPr bwMode="auto">
                                  <a:xfrm>
                                    <a:off x="9525" y="-333375"/>
                                    <a:ext cx="400050" cy="1104900"/>
                                  </a:xfrm>
                                  <a:prstGeom prst="rect">
                                    <a:avLst/>
                                  </a:prstGeom>
                                  <a:solidFill>
                                    <a:srgbClr val="FFFFFF"/>
                                  </a:solidFill>
                                  <a:ln w="9525">
                                    <a:solidFill>
                                      <a:srgbClr val="000000"/>
                                    </a:solidFill>
                                    <a:miter lim="800000"/>
                                  </a:ln>
                                </wps:spPr>
                                <wps:txbx>
                                  <w:txbxContent>
                                    <w:p>
                                      <w:pPr>
                                        <w:jc w:val="center"/>
                                      </w:pPr>
                                      <w:r>
                                        <w:rPr>
                                          <w:rFonts w:hint="eastAsia"/>
                                        </w:rPr>
                                        <w:t>各行政</w:t>
                                      </w:r>
                                      <w:r>
                                        <w:t>部门</w:t>
                                      </w:r>
                                    </w:p>
                                  </w:txbxContent>
                                </wps:txbx>
                                <wps:bodyPr rot="0" vert="horz" wrap="square" lIns="91440" tIns="45720" rIns="91440" bIns="45720" anchor="t" anchorCtr="0">
                                  <a:noAutofit/>
                                </wps:bodyPr>
                              </wps:wsp>
                              <wps:wsp>
                                <wps:cNvPr id="8" name="文本框 2"/>
                                <wps:cNvSpPr txBox="1">
                                  <a:spLocks noChangeArrowheads="1"/>
                                </wps:cNvSpPr>
                                <wps:spPr bwMode="auto">
                                  <a:xfrm>
                                    <a:off x="609600" y="-352425"/>
                                    <a:ext cx="438150" cy="1123950"/>
                                  </a:xfrm>
                                  <a:prstGeom prst="rect">
                                    <a:avLst/>
                                  </a:prstGeom>
                                  <a:solidFill>
                                    <a:srgbClr val="FFFFFF"/>
                                  </a:solidFill>
                                  <a:ln w="9525">
                                    <a:solidFill>
                                      <a:srgbClr val="000000"/>
                                    </a:solidFill>
                                    <a:miter lim="800000"/>
                                  </a:ln>
                                </wps:spPr>
                                <wps:txbx>
                                  <w:txbxContent>
                                    <w:p>
                                      <w:pPr>
                                        <w:jc w:val="center"/>
                                      </w:pPr>
                                      <w:r>
                                        <w:rPr>
                                          <w:rFonts w:hint="eastAsia"/>
                                        </w:rPr>
                                        <w:t>经管学院</w:t>
                                      </w:r>
                                    </w:p>
                                  </w:txbxContent>
                                </wps:txbx>
                                <wps:bodyPr rot="0" vert="horz" wrap="square" lIns="91440" tIns="45720" rIns="91440" bIns="45720" anchor="t" anchorCtr="0">
                                  <a:noAutofit/>
                                </wps:bodyPr>
                              </wps:wsp>
                              <wps:wsp>
                                <wps:cNvPr id="13" name="文本框 2"/>
                                <wps:cNvSpPr txBox="1">
                                  <a:spLocks noChangeArrowheads="1"/>
                                </wps:cNvSpPr>
                                <wps:spPr bwMode="auto">
                                  <a:xfrm>
                                    <a:off x="1323975" y="-342900"/>
                                    <a:ext cx="438150" cy="1104900"/>
                                  </a:xfrm>
                                  <a:prstGeom prst="rect">
                                    <a:avLst/>
                                  </a:prstGeom>
                                  <a:solidFill>
                                    <a:srgbClr val="FFFFFF"/>
                                  </a:solidFill>
                                  <a:ln w="9525">
                                    <a:solidFill>
                                      <a:srgbClr val="000000"/>
                                    </a:solidFill>
                                    <a:miter lim="800000"/>
                                  </a:ln>
                                </wps:spPr>
                                <wps:txbx>
                                  <w:txbxContent>
                                    <w:p>
                                      <w:pPr>
                                        <w:jc w:val="center"/>
                                      </w:pPr>
                                      <w:r>
                                        <w:rPr>
                                          <w:rFonts w:hint="eastAsia"/>
                                        </w:rPr>
                                        <w:t>其它各</w:t>
                                      </w:r>
                                      <w:r>
                                        <w:t>学院</w:t>
                                      </w:r>
                                    </w:p>
                                  </w:txbxContent>
                                </wps:txbx>
                                <wps:bodyPr rot="0" vert="horz" wrap="square" lIns="91440" tIns="45720" rIns="91440" bIns="45720" anchor="t" anchorCtr="0">
                                  <a:noAutofit/>
                                </wps:bodyPr>
                              </wps:wsp>
                            </wpg:grpSp>
                            <wps:wsp>
                              <wps:cNvPr id="22" name="矩形 22"/>
                              <wps:cNvSpPr/>
                              <wps:spPr>
                                <a:xfrm>
                                  <a:off x="0" y="-323850"/>
                                  <a:ext cx="2200275" cy="14192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32" name="组合 32"/>
                            <wpg:cNvGrpSpPr/>
                            <wpg:grpSpPr>
                              <a:xfrm>
                                <a:off x="1819275" y="428625"/>
                                <a:ext cx="1457325" cy="1647825"/>
                                <a:chOff x="-209550" y="0"/>
                                <a:chExt cx="1457325" cy="1647825"/>
                              </a:xfrm>
                            </wpg:grpSpPr>
                            <wps:wsp>
                              <wps:cNvPr id="24" name="直接箭头连接符 24"/>
                              <wps:cNvCnPr/>
                              <wps:spPr>
                                <a:xfrm flipV="1">
                                  <a:off x="-209550" y="1047750"/>
                                  <a:ext cx="14097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文本框 2"/>
                              <wps:cNvSpPr txBox="1">
                                <a:spLocks noChangeArrowheads="1"/>
                              </wps:cNvSpPr>
                              <wps:spPr bwMode="auto">
                                <a:xfrm>
                                  <a:off x="19050" y="657225"/>
                                  <a:ext cx="762000" cy="314325"/>
                                </a:xfrm>
                                <a:prstGeom prst="rect">
                                  <a:avLst/>
                                </a:prstGeom>
                                <a:solidFill>
                                  <a:srgbClr val="FFFFFF"/>
                                </a:solidFill>
                                <a:ln w="9525">
                                  <a:solidFill>
                                    <a:srgbClr val="000000"/>
                                  </a:solidFill>
                                  <a:miter lim="800000"/>
                                </a:ln>
                              </wps:spPr>
                              <wps:txbx>
                                <w:txbxContent>
                                  <w:p>
                                    <w:r>
                                      <w:rPr>
                                        <w:rFonts w:hint="eastAsia"/>
                                      </w:rPr>
                                      <w:t>服务</w:t>
                                    </w:r>
                                    <w:r>
                                      <w:t>功能</w:t>
                                    </w:r>
                                  </w:p>
                                </w:txbxContent>
                              </wps:txbx>
                              <wps:bodyPr rot="0" vert="horz" wrap="square" lIns="91440" tIns="45720" rIns="91440" bIns="45720" anchor="t" anchorCtr="0">
                                <a:noAutofit/>
                              </wps:bodyPr>
                            </wps:wsp>
                            <wps:wsp>
                              <wps:cNvPr id="27" name="直接连接符 27"/>
                              <wps:cNvCnPr/>
                              <wps:spPr>
                                <a:xfrm>
                                  <a:off x="828675" y="0"/>
                                  <a:ext cx="0" cy="1647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直接箭头连接符 28"/>
                              <wps:cNvCnPr/>
                              <wps:spPr>
                                <a:xfrm flipV="1">
                                  <a:off x="828675" y="19050"/>
                                  <a:ext cx="4000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wps:spPr>
                                <a:xfrm>
                                  <a:off x="847725" y="523875"/>
                                  <a:ext cx="4000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847725" y="1647825"/>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42" name="组合 42"/>
                          <wpg:cNvGrpSpPr/>
                          <wpg:grpSpPr>
                            <a:xfrm>
                              <a:off x="381000" y="2162175"/>
                              <a:ext cx="2133600" cy="657225"/>
                              <a:chOff x="38100" y="-247650"/>
                              <a:chExt cx="2133600" cy="657225"/>
                            </a:xfrm>
                          </wpg:grpSpPr>
                          <wps:wsp>
                            <wps:cNvPr id="35" name="直接连接符 35"/>
                            <wps:cNvCnPr/>
                            <wps:spPr>
                              <a:xfrm>
                                <a:off x="47625" y="-1905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箭头连接符 36"/>
                            <wps:cNvCnPr/>
                            <wps:spPr>
                              <a:xfrm flipH="1">
                                <a:off x="38100" y="9525"/>
                                <a:ext cx="9525"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直接箭头连接符 39"/>
                            <wps:cNvCnPr/>
                            <wps:spPr>
                              <a:xfrm>
                                <a:off x="1323975" y="-1905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600075" y="-247650"/>
                                <a:ext cx="1905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文本框 2"/>
                            <wps:cNvSpPr txBox="1">
                              <a:spLocks noChangeArrowheads="1"/>
                            </wps:cNvSpPr>
                            <wps:spPr bwMode="auto">
                              <a:xfrm>
                                <a:off x="1428750" y="-9525"/>
                                <a:ext cx="742950" cy="257175"/>
                              </a:xfrm>
                              <a:prstGeom prst="rect">
                                <a:avLst/>
                              </a:prstGeom>
                              <a:solidFill>
                                <a:srgbClr val="FFFFFF"/>
                              </a:solidFill>
                              <a:ln w="9525">
                                <a:solidFill>
                                  <a:srgbClr val="000000"/>
                                </a:solidFill>
                                <a:miter lim="800000"/>
                              </a:ln>
                            </wps:spPr>
                            <wps:txbx>
                              <w:txbxContent>
                                <w:p>
                                  <w:r>
                                    <w:rPr>
                                      <w:rFonts w:hint="eastAsia"/>
                                    </w:rPr>
                                    <w:t>服务部门</w:t>
                                  </w:r>
                                </w:p>
                              </w:txbxContent>
                            </wps:txbx>
                            <wps:bodyPr rot="0" vert="horz" wrap="square" lIns="91440" tIns="45720" rIns="91440" bIns="45720" anchor="t" anchorCtr="0">
                              <a:noAutofit/>
                            </wps:bodyPr>
                          </wps:wsp>
                        </wpg:grpSp>
                      </wpg:grpSp>
                      <wps:wsp>
                        <wps:cNvPr id="45" name="文本框 2"/>
                        <wps:cNvSpPr txBox="1">
                          <a:spLocks noChangeArrowheads="1"/>
                        </wps:cNvSpPr>
                        <wps:spPr bwMode="auto">
                          <a:xfrm>
                            <a:off x="542925" y="323850"/>
                            <a:ext cx="742950" cy="333375"/>
                          </a:xfrm>
                          <a:prstGeom prst="rect">
                            <a:avLst/>
                          </a:prstGeom>
                          <a:solidFill>
                            <a:srgbClr val="FFFFFF"/>
                          </a:solidFill>
                          <a:ln w="9525">
                            <a:solidFill>
                              <a:srgbClr val="000000"/>
                            </a:solidFill>
                            <a:miter lim="800000"/>
                          </a:ln>
                        </wps:spPr>
                        <wps:txbx>
                          <w:txbxContent>
                            <w:p>
                              <w:r>
                                <w:rPr>
                                  <w:rFonts w:hint="eastAsia"/>
                                </w:rPr>
                                <w:t>行政隶属</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32.25pt;margin-top:1pt;height:336pt;width:348.75pt;z-index:251662336;mso-width-relative:page;mso-height-relative:page;" coordsize="4429125,4267200" o:gfxdata="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">
                <o:lock v:ext="edit" aspectratio="f"/>
                <v:group id="_x0000_s1026" o:spid="_x0000_s1026" o:spt="203" style="position:absolute;left:0;top:0;height:4267200;width:4429125;" coordorigin="0,-57150" coordsize="4429125,426720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0;top:-57150;height:4267200;width:4429125;" coordorigin="0,-57150" coordsize="4429125,4267200"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38125;top:-57150;height:2209800;width:1562100;" coordorigin="219075,-544455" coordsize="1562100,225560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rect id="_x0000_s1026" o:spid="_x0000_s1026" o:spt="1" style="position:absolute;left:219075;top:-544455;height:2255600;width:1562100;v-text-anchor:middle;" filled="f" stroked="t" coordsize="21600,21600" o:gfxdata="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mLHS8AAAA&#10;2wAAAA8AAAAAAAAAAQAgAAAAIgAAAGRycy9kb3ducmV2LnhtbFBLAQIUABQAAAAIAIdO4kAzLwWe&#10;OwAAADkAAAAQAAAAAAAAAAEAIAAAAAsBAABkcnMvc2hhcGV4bWwueG1sUEsFBgAAAAAGAAYAWwEA&#10;ALUDAAAAAA==&#10;">
                        <v:fill on="f" focussize="0,0"/>
                        <v:stroke weight="1pt" color="#FF0000 [3204]" joinstyle="round"/>
                        <v:imagedata o:title=""/>
                        <o:lock v:ext="edit" aspectratio="f"/>
                      </v:rect>
                      <v:group id="_x0000_s1026" o:spid="_x0000_s1026" o:spt="203" style="position:absolute;left:409575;top:356949;height:1091692;width:1066800;" coordorigin="161925,80724" coordsize="1066800,109169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文本框 2" o:spid="_x0000_s1026" o:spt="202" type="#_x0000_t202" style="position:absolute;left:161925;top:80724;height:298450;width:1038225;"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院校</w:t>
                                </w:r>
                              </w:p>
                            </w:txbxContent>
                          </v:textbox>
                        </v:shape>
                        <v:shape id="文本框 2" o:spid="_x0000_s1026" o:spt="202" type="#_x0000_t202" style="position:absolute;left:190500;top:861299;height:311117;width:1038225;"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数据中心</w:t>
                                </w:r>
                              </w:p>
                            </w:txbxContent>
                          </v:textbox>
                        </v:shape>
                        <v:shape id="_x0000_s1026" o:spid="_x0000_s1026" o:spt="32" type="#_x0000_t32" style="position:absolute;left:685800;top:372660;height:459470;width:0;" filled="f" stroked="t" coordsize="21600,21600" o:gfxdata="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cCCO8AAAA&#10;2wAAAA8AAAAAAAAAAQAgAAAAIgAAAGRycy9kb3ducmV2LnhtbFBLAQIUABQAAAAIAIdO4kAzLwWe&#10;OwAAADkAAAAQAAAAAAAAAAEAIAAAAAsBAABkcnMvc2hhcGV4bWwueG1sUEsFBgAAAAAGAAYAWwEA&#10;ALUDAAAAAA==&#10;">
                          <v:fill on="f" focussize="0,0"/>
                          <v:stroke color="#4A7EBB [3204]" joinstyle="round" endarrow="block"/>
                          <v:imagedata o:title=""/>
                          <o:lock v:ext="edit" aspectratio="f"/>
                        </v:shape>
                      </v:group>
                    </v:group>
                    <v:group id="_x0000_s1026" o:spid="_x0000_s1026" o:spt="203" style="position:absolute;left:3095625;top:0;height:2352675;width:1333500;" coordsize="1333500,2352675"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133350;top:247650;height:1879600;width:1085850;" coordsize="1085850,187960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0;top:1066800;height:298450;width:1038225;" fillcolor="#FFFFFF" filled="t" stroked="t" coordsize="21600,21600" o:gfxdata="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6bVH6/&#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pPr>
                                <w:r>
                                  <w:rPr>
                                    <w:rFonts w:hint="eastAsia"/>
                                  </w:rPr>
                                  <w:t>提供决策</w:t>
                                </w:r>
                                <w:r>
                                  <w:t>数据</w:t>
                                </w:r>
                              </w:p>
                            </w:txbxContent>
                          </v:textbox>
                        </v:shape>
                        <v:shape id="_x0000_s1026" o:spid="_x0000_s1026" o:spt="202" type="#_x0000_t202" style="position:absolute;left:28575;top:0;height:295275;width:1057275;"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人工智能</w:t>
                                </w:r>
                                <w:r>
                                  <w:t>平台</w:t>
                                </w:r>
                              </w:p>
                            </w:txbxContent>
                          </v:textbox>
                        </v:shape>
                        <v:shape id="文本框 2" o:spid="_x0000_s1026" o:spt="202" type="#_x0000_t202" style="position:absolute;left:0;top:1581150;height:298450;width:1038225;"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rPr>
                                  <w:t>数据发布</w:t>
                                </w:r>
                              </w:p>
                            </w:txbxContent>
                          </v:textbox>
                        </v:shape>
                        <v:shape id="文本框 2" o:spid="_x0000_s1026" o:spt="202" type="#_x0000_t202" style="position:absolute;left:19050;top:523875;height:298450;width:1038225;"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数据采集</w:t>
                                </w:r>
                              </w:p>
                            </w:txbxContent>
                          </v:textbox>
                        </v:shape>
                      </v:group>
                      <v:rect id="_x0000_s1026" o:spid="_x0000_s1026" o:spt="1" style="position:absolute;left:0;top:0;height:2352675;width:1333500;v-text-anchor:middle;" filled="f" stroked="t" coordsize="21600,21600" o:gfxdata="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N+vbsAAADb&#10;AAAADwAAAAAAAAABACAAAAAiAAAAZHJzL2Rvd25yZXYueG1sUEsBAhQAFAAAAAgAh07iQDMvBZ47&#10;AAAAOQAAABAAAAAAAAAAAQAgAAAACgEAAGRycy9zaGFwZXhtbC54bWxQSwUGAAAAAAYABgBbAQAA&#10;tAMAAAAA&#10;">
                        <v:fill on="f" focussize="0,0"/>
                        <v:stroke weight="1pt" color="#FF0000 [3204]" joinstyle="round"/>
                        <v:imagedata o:title=""/>
                        <o:lock v:ext="edit" aspectratio="f"/>
                      </v:rect>
                    </v:group>
                    <v:group id="_x0000_s1026" o:spid="_x0000_s1026" o:spt="203" style="position:absolute;left:0;top:2790825;height:1419225;width:2200275;" coordorigin="0,-323850" coordsize="2200275,1419225"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09550;top:-219075;height:1123950;width:1752600;" coordorigin="9525,-352425" coordsize="1752600,112395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9525;top:-333375;height:1104900;width:40005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各行政</w:t>
                                </w:r>
                                <w:r>
                                  <w:t>部门</w:t>
                                </w:r>
                              </w:p>
                            </w:txbxContent>
                          </v:textbox>
                        </v:shape>
                        <v:shape id="文本框 2" o:spid="_x0000_s1026" o:spt="202" type="#_x0000_t202" style="position:absolute;left:609600;top:-352425;height:1123950;width:438150;"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rPr>
                                  <w:t>经管学院</w:t>
                                </w:r>
                              </w:p>
                            </w:txbxContent>
                          </v:textbox>
                        </v:shape>
                        <v:shape id="文本框 2" o:spid="_x0000_s1026" o:spt="202" type="#_x0000_t202" style="position:absolute;left:1323975;top:-342900;height:1104900;width:438150;"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其它各</w:t>
                                </w:r>
                                <w:r>
                                  <w:t>学院</w:t>
                                </w:r>
                              </w:p>
                            </w:txbxContent>
                          </v:textbox>
                        </v:shape>
                      </v:group>
                      <v:rect id="_x0000_s1026" o:spid="_x0000_s1026" o:spt="1" style="position:absolute;left:0;top:-323850;height:1419225;width:2200275;v-text-anchor:middle;" filled="f" stroked="t" coordsize="21600,21600" o:gfxdata="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9RVG8AAAA&#10;2wAAAA8AAAAAAAAAAQAgAAAAIgAAAGRycy9kb3ducmV2LnhtbFBLAQIUABQAAAAIAIdO4kAzLwWe&#10;OwAAADkAAAAQAAAAAAAAAAEAIAAAAAsBAABkcnMvc2hhcGV4bWwueG1sUEsFBgAAAAAGAAYAWwEA&#10;ALUDAAAAAA==&#10;">
                        <v:fill on="f" focussize="0,0"/>
                        <v:stroke weight="1pt" color="#FF0000 [3204]" joinstyle="round"/>
                        <v:imagedata o:title=""/>
                        <o:lock v:ext="edit" aspectratio="f"/>
                      </v:rect>
                    </v:group>
                    <v:group id="_x0000_s1026" o:spid="_x0000_s1026" o:spt="203" style="position:absolute;left:1819275;top:428625;height:1647825;width:1457325;" coordorigin="-209550,0" coordsize="1457325,1647825"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209550;top:1047750;flip:y;height:9525;width:1409700;" filled="f" stroked="t" coordsize="21600,21600" o:gfxdata="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SnLG8AAAA&#10;2wAAAA8AAAAAAAAAAQAgAAAAIgAAAGRycy9kb3ducmV2LnhtbFBLAQIUABQAAAAIAIdO4kAzLwWe&#10;OwAAADkAAAAQAAAAAAAAAAEAIAAAAAsBAABkcnMvc2hhcGV4bWwueG1sUEsFBgAAAAAGAAYAWwEA&#10;ALUDAAAAAA==&#10;">
                        <v:fill on="f" focussize="0,0"/>
                        <v:stroke color="#4A7EBB [3204]" joinstyle="round" endarrow="block"/>
                        <v:imagedata o:title=""/>
                        <o:lock v:ext="edit" aspectratio="f"/>
                      </v:shape>
                      <v:shape id="文本框 2" o:spid="_x0000_s1026" o:spt="202" type="#_x0000_t202" style="position:absolute;left:19050;top:657225;height:314325;width:762000;"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rPr>
                                  <w:rFonts w:hint="eastAsia"/>
                                </w:rPr>
                                <w:t>服务</w:t>
                              </w:r>
                              <w:r>
                                <w:t>功能</w:t>
                              </w:r>
                            </w:p>
                          </w:txbxContent>
                        </v:textbox>
                      </v:shape>
                      <v:line id="_x0000_s1026" o:spid="_x0000_s1026" o:spt="20" style="position:absolute;left:828675;top:0;height:1647825;width:0;" filled="f" stroked="t" coordsize="21600,21600" o:gfxdata="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TOwS8AAAA&#10;2wAAAA8AAAAAAAAAAQAgAAAAIgAAAGRycy9kb3ducmV2LnhtbFBLAQIUABQAAAAIAIdO4kAzLwWe&#10;OwAAADkAAAAQAAAAAAAAAAEAIAAAAAsBAABkcnMvc2hhcGV4bWwueG1sUEsFBgAAAAAGAAYAWwEA&#10;ALUDAAAAAA==&#10;">
                        <v:fill on="f" focussize="0,0"/>
                        <v:stroke color="#4A7EBB [3204]" joinstyle="round"/>
                        <v:imagedata o:title=""/>
                        <o:lock v:ext="edit" aspectratio="f"/>
                      </v:line>
                      <v:shape id="_x0000_s1026" o:spid="_x0000_s1026" o:spt="32" type="#_x0000_t32" style="position:absolute;left:828675;top:19050;flip:y;height:9525;width:400050;" filled="f" stroked="t" coordsize="21600,21600" o:gfxdata="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FflrS5AAAA2wAA&#10;AA8AAAAAAAAAAQAgAAAAIgAAAGRycy9kb3ducmV2LnhtbFBLAQIUABQAAAAIAIdO4kAzLwWeOwAA&#10;ADkAAAAQAAAAAAAAAAEAIAAAAAgBAABkcnMvc2hhcGV4bWwueG1sUEsFBgAAAAAGAAYAWwEAALID&#10;AAAAAA==&#10;">
                        <v:fill on="f" focussize="0,0"/>
                        <v:stroke color="#4A7EBB [3204]" joinstyle="round" endarrow="block"/>
                        <v:imagedata o:title=""/>
                        <o:lock v:ext="edit" aspectratio="f"/>
                      </v:shape>
                      <v:shape id="_x0000_s1026" o:spid="_x0000_s1026" o:spt="32" type="#_x0000_t32" style="position:absolute;left:847725;top:523875;height:9525;width:400050;" filled="f" stroked="t" coordsize="21600,21600" o:gfxdata="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Z9yJu/&#10;AAAA2wAAAA8AAAAAAAAAAQAgAAAAIgAAAGRycy9kb3ducmV2LnhtbFBLAQIUABQAAAAIAIdO4kAz&#10;LwWeOwAAADkAAAAQAAAAAAAAAAEAIAAAAA4BAABkcnMvc2hhcGV4bWwueG1sUEsFBgAAAAAGAAYA&#10;WwEAALgDAAAAAA==&#10;">
                        <v:fill on="f" focussize="0,0"/>
                        <v:stroke color="#4A7EBB [3204]" joinstyle="round" endarrow="block"/>
                        <v:imagedata o:title=""/>
                        <o:lock v:ext="edit" aspectratio="f"/>
                      </v:shape>
                      <v:shape id="_x0000_s1026" o:spid="_x0000_s1026" o:spt="32" type="#_x0000_t32" style="position:absolute;left:847725;top:1647825;height:0;width:390525;" filled="f" stroked="t" coordsize="21600,21600" o:gfxdata="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JSQL4A&#10;AADbAAAADwAAAAAAAAABACAAAAAiAAAAZHJzL2Rvd25yZXYueG1sUEsBAhQAFAAAAAgAh07iQDMv&#10;BZ47AAAAOQAAABAAAAAAAAAAAQAgAAAADQEAAGRycy9zaGFwZXhtbC54bWxQSwUGAAAAAAYABgBb&#10;AQAAtwMAAAAA&#10;">
                        <v:fill on="f" focussize="0,0"/>
                        <v:stroke color="#4A7EBB [3204]" joinstyle="round" endarrow="block"/>
                        <v:imagedata o:title=""/>
                        <o:lock v:ext="edit" aspectratio="f"/>
                      </v:shape>
                    </v:group>
                  </v:group>
                  <v:group id="_x0000_s1026" o:spid="_x0000_s1026" o:spt="203" style="position:absolute;left:381000;top:2162175;height:657225;width:2133600;" coordorigin="38100,-247650" coordsize="2133600,657225"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47625;top:-19050;height:0;width:1295400;" filled="f" stroked="t" coordsize="21600,21600" o:gfxdata="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ljW8AAAA&#10;2wAAAA8AAAAAAAAAAQAgAAAAIgAAAGRycy9kb3ducmV2LnhtbFBLAQIUABQAAAAIAIdO4kAzLwWe&#10;OwAAADkAAAAQAAAAAAAAAAEAIAAAAAsBAABkcnMvc2hhcGV4bWwueG1sUEsFBgAAAAAGAAYAWwEA&#10;ALUDAAAAAA==&#10;">
                      <v:fill on="f" focussize="0,0"/>
                      <v:stroke color="#4A7EBB [3204]" joinstyle="round"/>
                      <v:imagedata o:title=""/>
                      <o:lock v:ext="edit" aspectratio="f"/>
                    </v:line>
                    <v:shape id="_x0000_s1026" o:spid="_x0000_s1026" o:spt="32" type="#_x0000_t32" style="position:absolute;left:38100;top:9525;flip:x;height:342900;width:9525;" filled="f" stroked="t" coordsize="21600,21600" o:gfxdata="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VMYC8AAAA&#10;2wAAAA8AAAAAAAAAAQAgAAAAIgAAAGRycy9kb3ducmV2LnhtbFBLAQIUABQAAAAIAIdO4kAzLwWe&#10;OwAAADkAAAAQAAAAAAAAAAEAIAAAAAsBAABkcnMvc2hhcGV4bWwueG1sUEsFBgAAAAAGAAYAWwEA&#10;ALUDAAAAAA==&#10;">
                      <v:fill on="f" focussize="0,0"/>
                      <v:stroke color="#4A7EBB [3204]" joinstyle="round" endarrow="block"/>
                      <v:imagedata o:title=""/>
                      <o:lock v:ext="edit" aspectratio="f"/>
                    </v:shape>
                    <v:shape id="_x0000_s1026" o:spid="_x0000_s1026" o:spt="32" type="#_x0000_t32" style="position:absolute;left:1323975;top:-19050;height:333375;width:0;" filled="f" stroked="t" coordsize="21600,21600" o:gfxdata="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6ReRr4A&#10;AADbAAAADwAAAAAAAAABACAAAAAiAAAAZHJzL2Rvd25yZXYueG1sUEsBAhQAFAAAAAgAh07iQDMv&#10;BZ47AAAAOQAAABAAAAAAAAAAAQAgAAAADQEAAGRycy9zaGFwZXhtbC54bWxQSwUGAAAAAAYABgBb&#10;AQAAtwMAAAAA&#10;">
                      <v:fill on="f" focussize="0,0"/>
                      <v:stroke color="#4A7EBB [3204]" joinstyle="round" endarrow="block"/>
                      <v:imagedata o:title=""/>
                      <o:lock v:ext="edit" aspectratio="f"/>
                    </v:shape>
                    <v:shape id="_x0000_s1026" o:spid="_x0000_s1026" o:spt="32" type="#_x0000_t32" style="position:absolute;left:600075;top:-247650;height:657225;width:19050;" filled="f" stroked="t" coordsize="21600,21600" o:gfxdata="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piEprsAAADb&#10;AAAADwAAAAAAAAABACAAAAAiAAAAZHJzL2Rvd25yZXYueG1sUEsBAhQAFAAAAAgAh07iQDMvBZ47&#10;AAAAOQAAABAAAAAAAAAAAQAgAAAACgEAAGRycy9zaGFwZXhtbC54bWxQSwUGAAAAAAYABgBbAQAA&#10;tAMAAAAA&#10;">
                      <v:fill on="f" focussize="0,0"/>
                      <v:stroke color="#4A7EBB [3204]" joinstyle="round" endarrow="block"/>
                      <v:imagedata o:title=""/>
                      <o:lock v:ext="edit" aspectratio="f"/>
                    </v:shape>
                    <v:shape id="文本框 2" o:spid="_x0000_s1026" o:spt="202" type="#_x0000_t202" style="position:absolute;left:1428750;top:-9525;height:257175;width:742950;"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rPr>
                                <w:rFonts w:hint="eastAsia"/>
                              </w:rPr>
                              <w:t>服务部门</w:t>
                            </w:r>
                          </w:p>
                        </w:txbxContent>
                      </v:textbox>
                    </v:shape>
                  </v:group>
                </v:group>
                <v:shape id="文本框 2" o:spid="_x0000_s1026" o:spt="202" type="#_x0000_t202" style="position:absolute;left:542925;top:323850;height:333375;width:742950;" fillcolor="#FFFFFF" filled="t" stroked="t"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r>
                          <w:rPr>
                            <w:rFonts w:hint="eastAsia"/>
                          </w:rPr>
                          <w:t>行政隶属</w:t>
                        </w:r>
                      </w:p>
                    </w:txbxContent>
                  </v:textbox>
                </v:shape>
              </v:group>
            </w:pict>
          </mc:Fallback>
        </mc:AlternateContent>
      </w: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r>
        <w:rPr>
          <w:rFonts w:asciiTheme="minorEastAsia" w:hAnsiTheme="minorEastAsia"/>
          <w:szCs w:val="21"/>
        </w:rPr>
        <mc:AlternateContent>
          <mc:Choice Requires="wps">
            <w:drawing>
              <wp:anchor distT="0" distB="0" distL="114300" distR="114300" simplePos="0" relativeHeight="251656192" behindDoc="0" locked="0" layoutInCell="1" allowOverlap="1">
                <wp:simplePos x="0" y="0"/>
                <wp:positionH relativeFrom="column">
                  <wp:posOffset>2971800</wp:posOffset>
                </wp:positionH>
                <wp:positionV relativeFrom="paragraph">
                  <wp:posOffset>19050</wp:posOffset>
                </wp:positionV>
                <wp:extent cx="0" cy="0"/>
                <wp:effectExtent l="0" t="0" r="0" b="0"/>
                <wp:wrapNone/>
                <wp:docPr id="37" name="直接箭头连接符 37"/>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4pt;margin-top:1.5pt;height:0pt;width:0pt;z-index:251656192;mso-width-relative:page;mso-height-relative:page;" filled="f" stroked="t" coordsize="21600,21600" o:gfxdata="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WtuedQAAAAHAQAADwAAAAAAAAABACAAAAAiAAAAZHJzL2Rvd25yZXYueG1sUEsBAhQA&#10;FAAAAAgAh07iQC+Pcqb2AQAAsQMAAA4AAAAAAAAAAQAgAAAAIwEAAGRycy9lMm9Eb2MueG1sUEsF&#10;BgAAAAAGAAYAWQEAAIsFAAAAAA==&#10;">
                <v:fill on="f" focussize="0,0"/>
                <v:stroke color="#4A7EBB [3204]" joinstyle="round" endarrow="block"/>
                <v:imagedata o:title=""/>
                <o:lock v:ext="edit" aspectratio="f"/>
              </v:shape>
            </w:pict>
          </mc:Fallback>
        </mc:AlternateContent>
      </w: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rPr>
          <w:rFonts w:asciiTheme="minorEastAsia" w:hAnsiTheme="minorEastAsia"/>
          <w:szCs w:val="21"/>
        </w:rPr>
      </w:pPr>
    </w:p>
    <w:p>
      <w:pPr>
        <w:spacing w:line="400" w:lineRule="exact"/>
        <w:ind w:firstLine="367" w:firstLineChars="175"/>
        <w:jc w:val="center"/>
        <w:rPr>
          <w:rFonts w:asciiTheme="minorEastAsia" w:hAnsiTheme="minorEastAsia"/>
          <w:szCs w:val="21"/>
        </w:rPr>
      </w:pPr>
      <w:r>
        <w:rPr>
          <w:rFonts w:asciiTheme="minorEastAsia" w:hAnsiTheme="minorEastAsia"/>
          <w:szCs w:val="21"/>
        </w:rPr>
        <w:t>图</w:t>
      </w:r>
      <w:r>
        <w:rPr>
          <w:rFonts w:hint="eastAsia" w:asciiTheme="minorEastAsia" w:hAnsiTheme="minorEastAsia"/>
          <w:szCs w:val="21"/>
        </w:rPr>
        <w:t>1 数据中心架构、服务部门与功能</w:t>
      </w:r>
    </w:p>
    <w:p>
      <w:pPr>
        <w:spacing w:line="400" w:lineRule="exact"/>
        <w:ind w:firstLine="367" w:firstLineChars="175"/>
        <w:jc w:val="left"/>
        <w:rPr>
          <w:rFonts w:asciiTheme="minorEastAsia" w:hAnsiTheme="minorEastAsia"/>
          <w:szCs w:val="21"/>
        </w:rPr>
      </w:pPr>
      <w:r>
        <w:rPr>
          <w:rFonts w:hint="eastAsia" w:asciiTheme="minorEastAsia" w:hAnsiTheme="minorEastAsia"/>
          <w:szCs w:val="21"/>
        </w:rPr>
        <w:t>数据部门的职责：（1）与学校网络中心协作，推广生活、学习智能化网络，引入指纹识别、图像识别系统采集信息，布局人工智能平台，展开人工智能研究；（2）数据采集：汇总智能化收集的信息和各部门报送的数据；建立本院校的数据库系统、规范数据格式；（3）提供决策数据：通过人工智能平台进行数据分析，提供各部门、各学院所需的学生管理、教师管理、制度管理的全方位数据结果，为学校、学院发展、专业改革服务；（4）数据发布：构建院校发展核心指标，定期发布；形成统一的院校各种信息数据文件集；发布院校年鉴。（5）其它。如对外合作，与本省其他高校信息收集、处理、发布进行比较研究。</w:t>
      </w:r>
    </w:p>
    <w:p>
      <w:pPr>
        <w:spacing w:line="400" w:lineRule="exact"/>
        <w:ind w:firstLine="422" w:firstLineChars="200"/>
        <w:rPr>
          <w:rFonts w:asciiTheme="minorEastAsia" w:hAnsiTheme="minorEastAsia"/>
          <w:szCs w:val="21"/>
        </w:rPr>
      </w:pPr>
      <w:bookmarkStart w:id="16" w:name="_Toc512956311"/>
      <w:r>
        <w:rPr>
          <w:rFonts w:hint="eastAsia" w:asciiTheme="minorEastAsia" w:hAnsiTheme="minorEastAsia"/>
          <w:b/>
          <w:szCs w:val="21"/>
        </w:rPr>
        <w:t>（二）</w:t>
      </w:r>
      <w:bookmarkEnd w:id="16"/>
      <w:r>
        <w:rPr>
          <w:rFonts w:hint="eastAsia" w:asciiTheme="minorEastAsia" w:hAnsiTheme="minorEastAsia"/>
          <w:b/>
          <w:szCs w:val="21"/>
        </w:rPr>
        <w:t>以python语言为基础，构建全校型的通识课程，培养学生通用程序设计能力</w:t>
      </w:r>
    </w:p>
    <w:p>
      <w:pPr>
        <w:spacing w:line="400" w:lineRule="exact"/>
        <w:ind w:firstLine="367" w:firstLineChars="175"/>
        <w:rPr>
          <w:rFonts w:asciiTheme="minorEastAsia" w:hAnsiTheme="minorEastAsia"/>
          <w:szCs w:val="21"/>
        </w:rPr>
      </w:pPr>
      <w:r>
        <w:rPr>
          <w:rFonts w:asciiTheme="minorEastAsia" w:hAnsiTheme="minorEastAsia"/>
          <w:szCs w:val="21"/>
        </w:rPr>
        <w:t>人工智能技术已经渗入高校</w:t>
      </w:r>
      <w:r>
        <w:rPr>
          <w:rFonts w:hint="eastAsia" w:asciiTheme="minorEastAsia" w:hAnsiTheme="minorEastAsia"/>
          <w:szCs w:val="21"/>
        </w:rPr>
        <w:t>，并</w:t>
      </w:r>
      <w:r>
        <w:rPr>
          <w:rFonts w:asciiTheme="minorEastAsia" w:hAnsiTheme="minorEastAsia"/>
          <w:szCs w:val="21"/>
        </w:rPr>
        <w:t>逐步</w:t>
      </w:r>
      <w:r>
        <w:rPr>
          <w:rFonts w:hint="eastAsia" w:asciiTheme="minorEastAsia" w:hAnsiTheme="minorEastAsia"/>
          <w:szCs w:val="21"/>
        </w:rPr>
        <w:t>对</w:t>
      </w:r>
      <w:r>
        <w:rPr>
          <w:rFonts w:asciiTheme="minorEastAsia" w:hAnsiTheme="minorEastAsia"/>
          <w:szCs w:val="21"/>
        </w:rPr>
        <w:t>专业培养</w:t>
      </w:r>
      <w:r>
        <w:rPr>
          <w:rFonts w:hint="eastAsia" w:asciiTheme="minorEastAsia" w:hAnsiTheme="minorEastAsia"/>
          <w:szCs w:val="21"/>
        </w:rPr>
        <w:t>产生</w:t>
      </w:r>
      <w:r>
        <w:rPr>
          <w:rFonts w:asciiTheme="minorEastAsia" w:hAnsiTheme="minorEastAsia"/>
          <w:szCs w:val="21"/>
        </w:rPr>
        <w:t>影响</w:t>
      </w:r>
      <w:r>
        <w:rPr>
          <w:rFonts w:hint="eastAsia" w:asciiTheme="minorEastAsia" w:hAnsiTheme="minorEastAsia"/>
          <w:szCs w:val="21"/>
        </w:rPr>
        <w:t>，为让专业改革切实融入人工智能时代，</w:t>
      </w:r>
      <w:r>
        <w:rPr>
          <w:rFonts w:asciiTheme="minorEastAsia" w:hAnsiTheme="minorEastAsia"/>
          <w:szCs w:val="21"/>
        </w:rPr>
        <w:t>故地方院校应反复调研引入人工智能技术的可行性和通用性</w:t>
      </w:r>
      <w:r>
        <w:rPr>
          <w:rFonts w:hint="eastAsia" w:asciiTheme="minorEastAsia" w:hAnsiTheme="minorEastAsia"/>
          <w:szCs w:val="21"/>
        </w:rPr>
        <w:t>，</w:t>
      </w:r>
      <w:r>
        <w:rPr>
          <w:rFonts w:asciiTheme="minorEastAsia" w:hAnsiTheme="minorEastAsia"/>
          <w:szCs w:val="21"/>
        </w:rPr>
        <w:t>开设像英语</w:t>
      </w:r>
      <w:r>
        <w:rPr>
          <w:rFonts w:hint="eastAsia" w:asciiTheme="minorEastAsia" w:hAnsiTheme="minorEastAsia"/>
          <w:szCs w:val="21"/>
        </w:rPr>
        <w:t>、</w:t>
      </w:r>
      <w:r>
        <w:rPr>
          <w:rFonts w:asciiTheme="minorEastAsia" w:hAnsiTheme="minorEastAsia"/>
          <w:szCs w:val="21"/>
        </w:rPr>
        <w:t>哲学</w:t>
      </w:r>
      <w:r>
        <w:rPr>
          <w:rFonts w:hint="eastAsia" w:asciiTheme="minorEastAsia" w:hAnsiTheme="minorEastAsia"/>
          <w:szCs w:val="21"/>
        </w:rPr>
        <w:t>、</w:t>
      </w:r>
      <w:r>
        <w:rPr>
          <w:rFonts w:asciiTheme="minorEastAsia" w:hAnsiTheme="minorEastAsia"/>
          <w:szCs w:val="21"/>
        </w:rPr>
        <w:t>思政</w:t>
      </w:r>
      <w:r>
        <w:rPr>
          <w:rFonts w:hint="eastAsia" w:asciiTheme="minorEastAsia" w:hAnsiTheme="minorEastAsia"/>
          <w:szCs w:val="21"/>
        </w:rPr>
        <w:t>、</w:t>
      </w:r>
      <w:r>
        <w:rPr>
          <w:rFonts w:asciiTheme="minorEastAsia" w:hAnsiTheme="minorEastAsia"/>
          <w:szCs w:val="21"/>
        </w:rPr>
        <w:t>计算机基础</w:t>
      </w:r>
      <w:r>
        <w:rPr>
          <w:rFonts w:hint="eastAsia" w:asciiTheme="minorEastAsia" w:hAnsiTheme="minorEastAsia"/>
          <w:szCs w:val="21"/>
        </w:rPr>
        <w:t>、</w:t>
      </w:r>
      <w:r>
        <w:rPr>
          <w:rFonts w:asciiTheme="minorEastAsia" w:hAnsiTheme="minorEastAsia"/>
          <w:szCs w:val="21"/>
        </w:rPr>
        <w:t>数学</w:t>
      </w:r>
      <w:r>
        <w:rPr>
          <w:rFonts w:hint="eastAsia" w:asciiTheme="minorEastAsia" w:hAnsiTheme="minorEastAsia"/>
          <w:szCs w:val="21"/>
        </w:rPr>
        <w:t>等</w:t>
      </w:r>
      <w:r>
        <w:rPr>
          <w:rFonts w:asciiTheme="minorEastAsia" w:hAnsiTheme="minorEastAsia"/>
          <w:szCs w:val="21"/>
        </w:rPr>
        <w:t>适合全校各个专业的通用性课程</w:t>
      </w:r>
      <w:r>
        <w:rPr>
          <w:rFonts w:hint="eastAsia" w:asciiTheme="minorEastAsia" w:hAnsiTheme="minorEastAsia"/>
          <w:szCs w:val="21"/>
        </w:rPr>
        <w:t>。P</w:t>
      </w:r>
      <w:r>
        <w:rPr>
          <w:rFonts w:asciiTheme="minorEastAsia" w:hAnsiTheme="minorEastAsia"/>
          <w:szCs w:val="21"/>
        </w:rPr>
        <w:t>ython语言具有</w:t>
      </w:r>
      <w:r>
        <w:rPr>
          <w:rFonts w:hint="eastAsia" w:asciiTheme="minorEastAsia" w:hAnsiTheme="minorEastAsia"/>
          <w:szCs w:val="21"/>
        </w:rPr>
        <w:t>应用</w:t>
      </w:r>
      <w:r>
        <w:rPr>
          <w:rFonts w:asciiTheme="minorEastAsia" w:hAnsiTheme="minorEastAsia"/>
          <w:szCs w:val="21"/>
        </w:rPr>
        <w:t>的广泛性和通用性</w:t>
      </w:r>
      <w:r>
        <w:rPr>
          <w:rFonts w:hint="eastAsia" w:asciiTheme="minorEastAsia" w:hAnsiTheme="minorEastAsia"/>
          <w:szCs w:val="21"/>
        </w:rPr>
        <w:t>，</w:t>
      </w:r>
      <w:r>
        <w:rPr>
          <w:rFonts w:asciiTheme="minorEastAsia" w:hAnsiTheme="minorEastAsia"/>
          <w:szCs w:val="21"/>
        </w:rPr>
        <w:t>比较适合作为通识课程进行推广</w:t>
      </w:r>
      <w:r>
        <w:rPr>
          <w:rFonts w:hint="eastAsia" w:asciiTheme="minorEastAsia" w:hAnsiTheme="minorEastAsia"/>
          <w:szCs w:val="21"/>
        </w:rPr>
        <w:t>。全校开设python语言，有利于推动数据驱动决策能力的培养，促进学生的通用程序设计能力的培养。</w:t>
      </w:r>
    </w:p>
    <w:p>
      <w:pPr>
        <w:spacing w:line="400" w:lineRule="exact"/>
        <w:ind w:firstLine="422" w:firstLineChars="200"/>
        <w:rPr>
          <w:rFonts w:asciiTheme="minorEastAsia" w:hAnsiTheme="minorEastAsia"/>
          <w:b/>
          <w:szCs w:val="21"/>
        </w:rPr>
      </w:pPr>
      <w:bookmarkStart w:id="17" w:name="_Toc512956312"/>
      <w:r>
        <w:rPr>
          <w:rFonts w:hint="eastAsia" w:asciiTheme="minorEastAsia" w:hAnsiTheme="minorEastAsia"/>
          <w:b/>
          <w:szCs w:val="21"/>
        </w:rPr>
        <w:t>（三）</w:t>
      </w:r>
      <w:bookmarkEnd w:id="17"/>
      <w:r>
        <w:rPr>
          <w:rFonts w:hint="eastAsia" w:asciiTheme="minorEastAsia" w:hAnsiTheme="minorEastAsia"/>
          <w:b/>
          <w:szCs w:val="21"/>
        </w:rPr>
        <w:t>人才培养方案中引入人工智能算法，全程贯彻人工智能思想</w:t>
      </w:r>
    </w:p>
    <w:p>
      <w:pPr>
        <w:spacing w:line="400" w:lineRule="exact"/>
        <w:ind w:firstLine="367" w:firstLineChars="175"/>
        <w:rPr>
          <w:rFonts w:asciiTheme="minorEastAsia" w:hAnsiTheme="minorEastAsia"/>
          <w:szCs w:val="21"/>
        </w:rPr>
      </w:pPr>
      <w:r>
        <w:rPr>
          <w:rFonts w:asciiTheme="minorEastAsia" w:hAnsiTheme="minorEastAsia"/>
          <w:szCs w:val="21"/>
        </w:rPr>
        <w:t>人工智能技术影响各行各业的发展和社会生活的方方面面</w:t>
      </w:r>
      <w:r>
        <w:rPr>
          <w:rFonts w:hint="eastAsia" w:asciiTheme="minorEastAsia" w:hAnsiTheme="minorEastAsia"/>
          <w:szCs w:val="21"/>
        </w:rPr>
        <w:t>。行业需求改变、社会生活改变最终导致对人的工作、生活的核心能力要求的转变，数据处理能力将成为人工智能时代的一个基础性能力，故此需要把数据分析处理技术要引入到专业改革中去，根据专业特色设置具体课程，满足人才培养的需求。结合通识类人工智能技术课程进行延伸，开设实验课程、数据处理的选修课程、公开选修课程、课内实验、实践环节引入数据处理技术都是可行的选择。以金融工程专业为例，可在通识课程中增设《python语言》，培养学生程序设计能力；专业基础课引入《python与机器学习》、《python与神经网络》课程，培养学生运用计算机实现算法的能力；专业核心课程中引入《</w:t>
      </w:r>
      <w:r>
        <w:rPr>
          <w:rFonts w:asciiTheme="minorEastAsia" w:hAnsiTheme="minorEastAsia"/>
          <w:szCs w:val="21"/>
        </w:rPr>
        <w:t>金融工程</w:t>
      </w:r>
      <w:r>
        <w:rPr>
          <w:rFonts w:hint="eastAsia" w:asciiTheme="minorEastAsia" w:hAnsiTheme="minorEastAsia"/>
          <w:szCs w:val="21"/>
        </w:rPr>
        <w:t>-</w:t>
      </w:r>
      <w:r>
        <w:rPr>
          <w:rFonts w:asciiTheme="minorEastAsia" w:hAnsiTheme="minorEastAsia"/>
          <w:szCs w:val="21"/>
        </w:rPr>
        <w:t>python实践</w:t>
      </w:r>
      <w:r>
        <w:rPr>
          <w:rFonts w:hint="eastAsia" w:asciiTheme="minorEastAsia" w:hAnsiTheme="minorEastAsia"/>
          <w:szCs w:val="21"/>
        </w:rPr>
        <w:t>》实验课程，培养学生运用人工智能工具解决金融时序分析、金融风险管理等问题的能力和基于数据决策的能力，以满足大数据时代对创新性金融人才的需求。</w:t>
      </w:r>
    </w:p>
    <w:p>
      <w:pPr>
        <w:spacing w:line="400" w:lineRule="exact"/>
        <w:ind w:firstLine="422" w:firstLineChars="200"/>
        <w:rPr>
          <w:rFonts w:asciiTheme="minorEastAsia" w:hAnsiTheme="minorEastAsia"/>
          <w:b/>
          <w:szCs w:val="21"/>
        </w:rPr>
      </w:pPr>
      <w:bookmarkStart w:id="18" w:name="_Toc512956313"/>
      <w:r>
        <w:rPr>
          <w:rFonts w:hint="eastAsia" w:asciiTheme="minorEastAsia" w:hAnsiTheme="minorEastAsia"/>
          <w:b/>
          <w:szCs w:val="21"/>
        </w:rPr>
        <w:t>（四）专业培养过程人工智能化</w:t>
      </w:r>
      <w:bookmarkEnd w:id="18"/>
    </w:p>
    <w:p>
      <w:pPr>
        <w:spacing w:line="400" w:lineRule="exact"/>
        <w:ind w:firstLine="367" w:firstLineChars="175"/>
        <w:rPr>
          <w:rFonts w:asciiTheme="minorEastAsia" w:hAnsiTheme="minorEastAsia"/>
          <w:szCs w:val="21"/>
        </w:rPr>
      </w:pPr>
      <w:r>
        <w:rPr>
          <w:rFonts w:asciiTheme="minorEastAsia" w:hAnsiTheme="minorEastAsia"/>
          <w:szCs w:val="21"/>
        </w:rPr>
        <w:t>专业培养设置人工智能通识课和专业特色数据处理技术课程后</w:t>
      </w:r>
      <w:r>
        <w:rPr>
          <w:rFonts w:hint="eastAsia" w:asciiTheme="minorEastAsia" w:hAnsiTheme="minorEastAsia"/>
          <w:szCs w:val="21"/>
        </w:rPr>
        <w:t>，在人才培养的过程更需要引入人工智能思想，通过吸收数据中心各种报告的合理建议，教师及时变换教学方式，学生及时转变学习方法，共同协作，达成人才培养目标。教师课程教学改革在满足学生真实需求的基础上，逐步把课程理论实验化，通过实验提升学生应用能力和熟悉基本理论，提升学习的兴趣和效果。通过本校就业数据分析结果调整学生管理模式和授课模式，提升学生利用人工智能技术进行科学决策的应用能力。培养过程的动态化、效果会反促教学改革、教师转变教学方式、学生通过人工智能分析结果认清自身不足，以效果评价师生，教学改革就会持续下去，最终实现学校、教师、学生、就业单位等各方共赢的目标。</w:t>
      </w:r>
      <w:bookmarkStart w:id="19" w:name="_Toc512956314"/>
    </w:p>
    <w:p>
      <w:pPr>
        <w:spacing w:line="400" w:lineRule="exact"/>
        <w:ind w:firstLine="422" w:firstLineChars="175"/>
        <w:rPr>
          <w:rFonts w:asciiTheme="minorEastAsia" w:hAnsiTheme="minorEastAsia"/>
          <w:b/>
          <w:sz w:val="24"/>
          <w:szCs w:val="24"/>
        </w:rPr>
      </w:pPr>
      <w:r>
        <w:rPr>
          <w:rFonts w:hint="eastAsia" w:asciiTheme="minorEastAsia" w:hAnsiTheme="minorEastAsia"/>
          <w:b/>
          <w:sz w:val="24"/>
          <w:szCs w:val="24"/>
        </w:rPr>
        <w:t>结语</w:t>
      </w:r>
    </w:p>
    <w:p>
      <w:pPr>
        <w:spacing w:line="400" w:lineRule="exact"/>
        <w:ind w:firstLine="367" w:firstLineChars="175"/>
        <w:rPr>
          <w:rFonts w:asciiTheme="minorEastAsia" w:hAnsiTheme="minorEastAsia"/>
          <w:szCs w:val="21"/>
        </w:rPr>
      </w:pPr>
      <w:r>
        <w:rPr>
          <w:rFonts w:asciiTheme="minorEastAsia" w:hAnsiTheme="minorEastAsia"/>
          <w:szCs w:val="21"/>
        </w:rPr>
        <w:t>大数据和人工智能是潮流也是趋势</w:t>
      </w:r>
      <w:r>
        <w:rPr>
          <w:rFonts w:hint="eastAsia" w:asciiTheme="minorEastAsia" w:hAnsiTheme="minorEastAsia"/>
          <w:szCs w:val="21"/>
        </w:rPr>
        <w:t>，</w:t>
      </w:r>
      <w:r>
        <w:rPr>
          <w:rFonts w:asciiTheme="minorEastAsia" w:hAnsiTheme="minorEastAsia"/>
          <w:szCs w:val="21"/>
        </w:rPr>
        <w:t>运用人工智能核心技术处理数据</w:t>
      </w:r>
      <w:r>
        <w:rPr>
          <w:rFonts w:hint="eastAsia" w:asciiTheme="minorEastAsia" w:hAnsiTheme="minorEastAsia"/>
          <w:szCs w:val="21"/>
        </w:rPr>
        <w:t>、</w:t>
      </w:r>
      <w:r>
        <w:rPr>
          <w:rFonts w:asciiTheme="minorEastAsia" w:hAnsiTheme="minorEastAsia"/>
          <w:szCs w:val="21"/>
        </w:rPr>
        <w:t>做出正确决策的能力将成为职业</w:t>
      </w:r>
      <w:r>
        <w:rPr>
          <w:rFonts w:hint="eastAsia" w:asciiTheme="minorEastAsia" w:hAnsiTheme="minorEastAsia"/>
          <w:szCs w:val="21"/>
        </w:rPr>
        <w:t>人士</w:t>
      </w:r>
      <w:r>
        <w:rPr>
          <w:rFonts w:asciiTheme="minorEastAsia" w:hAnsiTheme="minorEastAsia"/>
          <w:szCs w:val="21"/>
        </w:rPr>
        <w:t>的必备能力</w:t>
      </w:r>
      <w:r>
        <w:rPr>
          <w:rFonts w:hint="eastAsia" w:asciiTheme="minorEastAsia" w:hAnsiTheme="minorEastAsia"/>
          <w:szCs w:val="21"/>
        </w:rPr>
        <w:t>。为满足社会对这种人才的需求，地方性应用型本科院校人才培养需要突出数据处理能力的培养，为此地方院校须注重顶层制度设计，考虑从通识课程中开设数据处理课程，学校层面统筹数据部门，数据驱动教学管理。具体的专业人才培养方案引入人工智能思想可以从两个方面展开：一是在专业基础课程体系中引入算法课程；二是专业课程体系引入数据处理应用的实验课。可以预计专业人才培养与人工智能的结合，将进一步提升人才培养的质量。</w:t>
      </w:r>
    </w:p>
    <w:p>
      <w:pPr>
        <w:spacing w:line="400" w:lineRule="exact"/>
        <w:rPr>
          <w:rFonts w:asciiTheme="minorEastAsia" w:hAnsiTheme="minorEastAsia"/>
          <w:b/>
          <w:bCs/>
          <w:szCs w:val="21"/>
        </w:rPr>
      </w:pPr>
    </w:p>
    <w:p>
      <w:pPr>
        <w:spacing w:line="400" w:lineRule="exact"/>
        <w:rPr>
          <w:rFonts w:asciiTheme="minorEastAsia" w:hAnsiTheme="minorEastAsia"/>
          <w:b/>
          <w:bCs/>
          <w:szCs w:val="21"/>
        </w:rPr>
      </w:pPr>
      <w:r>
        <w:rPr>
          <w:rFonts w:hint="eastAsia" w:asciiTheme="minorEastAsia" w:hAnsiTheme="minorEastAsia"/>
          <w:b/>
          <w:bCs/>
          <w:szCs w:val="21"/>
        </w:rPr>
        <w:t>参考</w:t>
      </w:r>
      <w:bookmarkEnd w:id="19"/>
      <w:r>
        <w:rPr>
          <w:rFonts w:hint="eastAsia" w:asciiTheme="minorEastAsia" w:hAnsiTheme="minorEastAsia"/>
          <w:b/>
          <w:bCs/>
          <w:szCs w:val="21"/>
        </w:rPr>
        <w:t>文献：</w:t>
      </w:r>
    </w:p>
    <w:p>
      <w:pPr>
        <w:spacing w:line="400" w:lineRule="exact"/>
        <w:rPr>
          <w:rFonts w:ascii="Times New Roman" w:hAnsi="Times New Roman" w:cs="Times New Roman"/>
          <w:bCs/>
          <w:szCs w:val="21"/>
        </w:rPr>
      </w:pPr>
      <w:r>
        <w:rPr>
          <w:rFonts w:ascii="Times New Roman" w:hAnsi="Times New Roman" w:cs="Times New Roman"/>
          <w:bCs/>
          <w:szCs w:val="21"/>
        </w:rPr>
        <w:t>[1] 国务院. 国家教育事业发展“十三五”规划</w:t>
      </w:r>
      <w:r>
        <w:rPr>
          <w:rFonts w:ascii="Times New Roman" w:hAnsi="Times New Roman" w:cs="Times New Roman"/>
          <w:kern w:val="0"/>
          <w:szCs w:val="21"/>
        </w:rPr>
        <w:t>［EB/OL］</w:t>
      </w:r>
      <w:r>
        <w:rPr>
          <w:rFonts w:ascii="Times New Roman" w:hAnsi="Times New Roman" w:cs="Times New Roman"/>
          <w:bCs/>
          <w:szCs w:val="21"/>
        </w:rPr>
        <w:t>.[2018-04-29]. http：//www.moe.gov.cn/jyb_xxgk/moe_1777/moe_1778/201701/t20170119_295319.html.</w:t>
      </w:r>
    </w:p>
    <w:p>
      <w:pPr>
        <w:spacing w:line="400" w:lineRule="exact"/>
        <w:rPr>
          <w:rFonts w:ascii="Times New Roman" w:hAnsi="Times New Roman" w:cs="Times New Roman"/>
          <w:bCs/>
          <w:szCs w:val="21"/>
        </w:rPr>
      </w:pPr>
      <w:r>
        <w:rPr>
          <w:rFonts w:ascii="Times New Roman" w:hAnsi="Times New Roman" w:cs="Times New Roman"/>
          <w:bCs/>
          <w:szCs w:val="21"/>
        </w:rPr>
        <w:t>[2] 国务院.新一代人工智能发展规划</w:t>
      </w:r>
      <w:r>
        <w:rPr>
          <w:rFonts w:ascii="Times New Roman" w:hAnsi="Times New Roman" w:cs="Times New Roman"/>
          <w:kern w:val="0"/>
          <w:szCs w:val="21"/>
        </w:rPr>
        <w:t>［EB/OL］</w:t>
      </w:r>
      <w:r>
        <w:rPr>
          <w:rFonts w:ascii="Times New Roman" w:hAnsi="Times New Roman" w:cs="Times New Roman"/>
          <w:bCs/>
          <w:szCs w:val="21"/>
        </w:rPr>
        <w:t>.[2018-04-29]. http：//www.gov.cn/zhengce/content/2017-07/20/content_5211996.htm.</w:t>
      </w:r>
    </w:p>
    <w:p>
      <w:pPr>
        <w:spacing w:line="400" w:lineRule="exact"/>
        <w:rPr>
          <w:rFonts w:ascii="Times New Roman" w:hAnsi="Times New Roman" w:cs="Times New Roman"/>
          <w:bCs/>
          <w:szCs w:val="21"/>
        </w:rPr>
      </w:pPr>
      <w:r>
        <w:rPr>
          <w:rFonts w:ascii="Times New Roman" w:hAnsi="Times New Roman" w:cs="Times New Roman"/>
          <w:bCs/>
          <w:szCs w:val="21"/>
        </w:rPr>
        <w:t>[3] 教育部.高等学校人工智能创新行动计划</w:t>
      </w:r>
      <w:r>
        <w:rPr>
          <w:rFonts w:ascii="Times New Roman" w:hAnsi="Times New Roman" w:cs="Times New Roman"/>
          <w:kern w:val="0"/>
          <w:szCs w:val="21"/>
        </w:rPr>
        <w:t>［EB/OL］</w:t>
      </w:r>
      <w:r>
        <w:rPr>
          <w:rFonts w:ascii="Times New Roman" w:hAnsi="Times New Roman" w:cs="Times New Roman"/>
          <w:bCs/>
          <w:szCs w:val="21"/>
        </w:rPr>
        <w:t>.[2018-04-29]. http：//www.moe.gov.cn/srcsite/A16/s7062/201804/t20180410_332722.html.</w:t>
      </w:r>
    </w:p>
    <w:p>
      <w:pPr>
        <w:spacing w:line="400" w:lineRule="exact"/>
        <w:rPr>
          <w:rFonts w:ascii="Times New Roman" w:hAnsi="Times New Roman" w:cs="Times New Roman"/>
          <w:bCs/>
          <w:szCs w:val="21"/>
        </w:rPr>
      </w:pPr>
      <w:r>
        <w:rPr>
          <w:rFonts w:ascii="Times New Roman" w:hAnsi="Times New Roman" w:cs="Times New Roman"/>
          <w:bCs/>
          <w:szCs w:val="21"/>
        </w:rPr>
        <w:t>[4] 教育部.教育信息化2.0行动计划［EB/OL］.[2018-04-29]. http：//www.moe.gov.cn/srcsite/A16/s3342/201804/t20180425_334188.html.</w:t>
      </w:r>
    </w:p>
    <w:p>
      <w:pPr>
        <w:spacing w:line="400" w:lineRule="exact"/>
        <w:rPr>
          <w:rFonts w:ascii="Times New Roman" w:hAnsi="Times New Roman" w:cs="Times New Roman"/>
          <w:bCs/>
          <w:szCs w:val="21"/>
        </w:rPr>
      </w:pPr>
      <w:r>
        <w:rPr>
          <w:rFonts w:ascii="Times New Roman" w:hAnsi="Times New Roman" w:cs="Times New Roman"/>
          <w:bCs/>
          <w:szCs w:val="21"/>
        </w:rPr>
        <w:t>[5]教育部.普通高等学校本科专业目录（2012年）［EB/OL］. [2018.4.30].http：//www.moe.gov.cn/srcsite/A08/moe_1034/s3882/201209/t20120918_143152.html.</w:t>
      </w:r>
    </w:p>
    <w:p>
      <w:pPr>
        <w:spacing w:line="400" w:lineRule="exact"/>
        <w:rPr>
          <w:rFonts w:ascii="Times New Roman" w:hAnsi="Times New Roman" w:cs="Times New Roman"/>
          <w:bCs/>
          <w:szCs w:val="21"/>
        </w:rPr>
      </w:pPr>
      <w:r>
        <w:rPr>
          <w:rFonts w:ascii="Times New Roman" w:hAnsi="Times New Roman" w:cs="Times New Roman"/>
          <w:bCs/>
          <w:szCs w:val="21"/>
        </w:rPr>
        <w:t>[6] 中国人工智能学会. 2017 中国人工智能系列白皮书-中国人工智能创新应用［EB/OL］.[ 2018-04-30].http：//www.caai.cn/index.php?s=/Home/Article/detail/id/433.html.</w:t>
      </w:r>
    </w:p>
    <w:p>
      <w:pPr>
        <w:spacing w:line="400" w:lineRule="exact"/>
        <w:rPr>
          <w:rFonts w:ascii="Times New Roman" w:hAnsi="Times New Roman" w:cs="Times New Roman"/>
          <w:bCs/>
          <w:szCs w:val="21"/>
        </w:rPr>
      </w:pPr>
      <w:r>
        <w:rPr>
          <w:rFonts w:ascii="Times New Roman" w:hAnsi="Times New Roman" w:cs="Times New Roman"/>
          <w:bCs/>
          <w:szCs w:val="21"/>
        </w:rPr>
        <w:t>[7] 财政金融学院. 2017级金融工程专业培养方案［EB/OL］.[ 2018-04-30].http：//sf.ruc.edu.cn/bkswz/pytx1/pyfa/qrzbks1.htm.</w:t>
      </w:r>
    </w:p>
    <w:p>
      <w:pPr>
        <w:spacing w:line="400" w:lineRule="exact"/>
        <w:rPr>
          <w:rFonts w:ascii="Times New Roman" w:hAnsi="Times New Roman" w:cs="Times New Roman"/>
          <w:bCs/>
          <w:szCs w:val="21"/>
        </w:rPr>
      </w:pPr>
      <w:r>
        <w:rPr>
          <w:rFonts w:ascii="Times New Roman" w:hAnsi="Times New Roman" w:cs="Times New Roman"/>
          <w:bCs/>
          <w:szCs w:val="21"/>
        </w:rPr>
        <w:t>[8] 中国人民大学经济学院.本科专业介绍［EB/OL］. [2018-04-30].http：//econ.ruc.edu.cn/more.php?cid=10801.</w:t>
      </w:r>
    </w:p>
    <w:p>
      <w:pPr>
        <w:spacing w:line="400" w:lineRule="exact"/>
        <w:rPr>
          <w:rFonts w:ascii="Times New Roman" w:hAnsi="Times New Roman" w:cs="Times New Roman"/>
          <w:bCs/>
          <w:szCs w:val="21"/>
        </w:rPr>
      </w:pPr>
      <w:r>
        <w:rPr>
          <w:rFonts w:ascii="Times New Roman" w:hAnsi="Times New Roman" w:cs="Times New Roman"/>
          <w:bCs/>
          <w:szCs w:val="21"/>
        </w:rPr>
        <w:t xml:space="preserve">[9] 国家中长期教育改革和发展规划纲要工作小组办公室. 国家中长期教育改革和发展规划纲要（2010-2020年）［EB/OL］.[2018-05-05]. </w:t>
      </w:r>
      <w:r>
        <w:fldChar w:fldCharType="begin"/>
      </w:r>
      <w:r>
        <w:instrText xml:space="preserve"> HYPERLINK "http://www.moe.gov.cn/srcsite/A01/s7048/201007/t20100729_171904.html" </w:instrText>
      </w:r>
      <w:r>
        <w:fldChar w:fldCharType="separate"/>
      </w:r>
      <w:r>
        <w:rPr>
          <w:rFonts w:ascii="Times New Roman" w:hAnsi="Times New Roman" w:cs="Times New Roman"/>
        </w:rPr>
        <w:t>http：//www.moe.gov.cn/srcsite/A01/s7048/201007/t20100729_171904.html</w:t>
      </w:r>
      <w:r>
        <w:rPr>
          <w:rFonts w:ascii="Times New Roman" w:hAnsi="Times New Roman" w:cs="Times New Roman"/>
        </w:rPr>
        <w:fldChar w:fldCharType="end"/>
      </w:r>
      <w:r>
        <w:rPr>
          <w:rFonts w:ascii="Times New Roman" w:hAnsi="Times New Roman" w:cs="Times New Roman"/>
          <w:bCs/>
          <w:szCs w:val="21"/>
        </w:rPr>
        <w:t>.</w:t>
      </w:r>
    </w:p>
    <w:p>
      <w:pPr>
        <w:spacing w:line="400" w:lineRule="exact"/>
        <w:jc w:val="center"/>
        <w:rPr>
          <w:rFonts w:ascii="Times New Roman" w:hAnsi="Times New Roman" w:cs="Times New Roman"/>
          <w:b/>
          <w:sz w:val="32"/>
          <w:szCs w:val="32"/>
        </w:rPr>
      </w:pPr>
    </w:p>
    <w:p>
      <w:pPr>
        <w:spacing w:line="400" w:lineRule="exact"/>
        <w:jc w:val="center"/>
        <w:rPr>
          <w:rFonts w:ascii="Times New Roman" w:hAnsi="Times New Roman" w:cs="Times New Roman"/>
          <w:b/>
          <w:sz w:val="32"/>
          <w:szCs w:val="32"/>
        </w:rPr>
      </w:pPr>
    </w:p>
    <w:p>
      <w:pPr>
        <w:spacing w:line="400" w:lineRule="exact"/>
        <w:jc w:val="center"/>
        <w:rPr>
          <w:rFonts w:ascii="Times New Roman" w:hAnsi="Times New Roman" w:cs="Times New Roman"/>
          <w:b/>
          <w:sz w:val="32"/>
          <w:szCs w:val="32"/>
        </w:rPr>
      </w:pPr>
    </w:p>
    <w:p>
      <w:pPr>
        <w:spacing w:line="400" w:lineRule="exact"/>
        <w:jc w:val="center"/>
        <w:rPr>
          <w:rFonts w:ascii="Times New Roman" w:hAnsi="Times New Roman" w:cs="Times New Roman"/>
          <w:b/>
          <w:sz w:val="32"/>
          <w:szCs w:val="32"/>
        </w:rPr>
      </w:pPr>
    </w:p>
    <w:p>
      <w:pPr>
        <w:spacing w:line="400" w:lineRule="exact"/>
        <w:jc w:val="center"/>
        <w:rPr>
          <w:rFonts w:ascii="Times New Roman" w:hAnsi="Times New Roman" w:cs="Times New Roman"/>
          <w:b/>
          <w:sz w:val="32"/>
          <w:szCs w:val="32"/>
        </w:rPr>
      </w:pPr>
    </w:p>
    <w:p>
      <w:pPr>
        <w:spacing w:line="400" w:lineRule="exact"/>
        <w:jc w:val="center"/>
        <w:rPr>
          <w:rFonts w:ascii="Times New Roman" w:hAnsi="Times New Roman" w:cs="Times New Roman"/>
          <w:b/>
          <w:sz w:val="32"/>
          <w:szCs w:val="32"/>
        </w:rPr>
      </w:pPr>
    </w:p>
    <w:p>
      <w:pPr>
        <w:spacing w:line="400" w:lineRule="exact"/>
        <w:jc w:val="center"/>
        <w:rPr>
          <w:rFonts w:ascii="Times New Roman" w:hAnsi="Times New Roman" w:cs="Times New Roman"/>
          <w:b/>
          <w:sz w:val="32"/>
          <w:szCs w:val="32"/>
        </w:rPr>
      </w:pPr>
    </w:p>
    <w:p>
      <w:pPr>
        <w:spacing w:line="400" w:lineRule="exact"/>
        <w:jc w:val="center"/>
        <w:rPr>
          <w:rFonts w:ascii="Times New Roman" w:hAnsi="Times New Roman" w:cs="Times New Roman"/>
          <w:b/>
          <w:sz w:val="32"/>
          <w:szCs w:val="32"/>
        </w:rPr>
      </w:pPr>
    </w:p>
    <w:p>
      <w:pPr>
        <w:spacing w:line="400" w:lineRule="exact"/>
        <w:jc w:val="center"/>
        <w:rPr>
          <w:rFonts w:ascii="Times New Roman" w:hAnsi="Times New Roman" w:cs="Times New Roman"/>
          <w:b/>
          <w:sz w:val="32"/>
          <w:szCs w:val="32"/>
        </w:rPr>
      </w:pPr>
    </w:p>
    <w:p>
      <w:pPr>
        <w:spacing w:line="400" w:lineRule="exact"/>
        <w:jc w:val="center"/>
        <w:rPr>
          <w:rFonts w:ascii="Times New Roman" w:hAnsi="Times New Roman" w:cs="Times New Roman"/>
          <w:b/>
          <w:sz w:val="32"/>
          <w:szCs w:val="32"/>
        </w:rPr>
      </w:pPr>
      <w:r>
        <w:rPr>
          <w:rFonts w:ascii="Times New Roman" w:hAnsi="Times New Roman" w:cs="Times New Roman"/>
          <w:b/>
          <w:sz w:val="32"/>
          <w:szCs w:val="32"/>
        </w:rPr>
        <w:t xml:space="preserve">Artificial Intelligence and </w:t>
      </w:r>
      <w:r>
        <w:rPr>
          <w:rFonts w:hint="eastAsia" w:ascii="Times New Roman" w:hAnsi="Times New Roman" w:cs="Times New Roman"/>
          <w:b/>
          <w:sz w:val="32"/>
          <w:szCs w:val="32"/>
        </w:rPr>
        <w:t>Talent Training</w:t>
      </w:r>
      <w:r>
        <w:rPr>
          <w:rFonts w:ascii="Times New Roman" w:hAnsi="Times New Roman" w:cs="Times New Roman"/>
          <w:b/>
          <w:sz w:val="32"/>
          <w:szCs w:val="32"/>
        </w:rPr>
        <w:t xml:space="preserve"> of </w:t>
      </w:r>
      <w:r>
        <w:rPr>
          <w:rFonts w:hint="eastAsia" w:ascii="Times New Roman" w:hAnsi="Times New Roman" w:cs="Times New Roman"/>
          <w:b/>
          <w:sz w:val="32"/>
          <w:szCs w:val="32"/>
        </w:rPr>
        <w:t xml:space="preserve">Economics Specialties in Local </w:t>
      </w:r>
      <w:r>
        <w:rPr>
          <w:rFonts w:ascii="Times New Roman" w:hAnsi="Times New Roman" w:cs="Times New Roman"/>
          <w:b/>
          <w:sz w:val="32"/>
          <w:szCs w:val="32"/>
        </w:rPr>
        <w:t>Application</w:t>
      </w:r>
      <w:r>
        <w:rPr>
          <w:rFonts w:hint="eastAsia" w:ascii="Times New Roman" w:hAnsi="Times New Roman" w:cs="Times New Roman"/>
          <w:b/>
          <w:sz w:val="32"/>
          <w:szCs w:val="32"/>
        </w:rPr>
        <w:t>-</w:t>
      </w:r>
      <w:r>
        <w:rPr>
          <w:rFonts w:ascii="Times New Roman" w:hAnsi="Times New Roman" w:cs="Times New Roman"/>
          <w:b/>
          <w:sz w:val="32"/>
          <w:szCs w:val="32"/>
        </w:rPr>
        <w:t xml:space="preserve">oriented </w:t>
      </w:r>
      <w:r>
        <w:rPr>
          <w:rFonts w:hint="eastAsia" w:ascii="Times New Roman" w:hAnsi="Times New Roman" w:cs="Times New Roman"/>
          <w:b/>
          <w:sz w:val="32"/>
          <w:szCs w:val="32"/>
        </w:rPr>
        <w:t xml:space="preserve">Undergraduate Institutes </w:t>
      </w:r>
    </w:p>
    <w:p>
      <w:pPr>
        <w:spacing w:line="400" w:lineRule="exact"/>
        <w:jc w:val="center"/>
        <w:rPr>
          <w:rFonts w:ascii="Times New Roman" w:hAnsi="Times New Roman" w:cs="Times New Roman"/>
          <w:szCs w:val="21"/>
        </w:rPr>
      </w:pPr>
      <w:r>
        <w:rPr>
          <w:rFonts w:ascii="Times New Roman" w:hAnsi="Times New Roman" w:cs="Times New Roman"/>
          <w:szCs w:val="21"/>
        </w:rPr>
        <w:t>CHEN Huimin</w:t>
      </w:r>
      <w:r>
        <w:rPr>
          <w:rFonts w:ascii="Times New Roman" w:hAnsi="Times New Roman" w:cs="Times New Roman"/>
          <w:szCs w:val="21"/>
          <w:vertAlign w:val="superscript"/>
        </w:rPr>
        <w:t>1</w:t>
      </w:r>
      <w:r>
        <w:rPr>
          <w:rFonts w:ascii="Times New Roman" w:hAnsi="Times New Roman" w:cs="Times New Roman"/>
          <w:szCs w:val="21"/>
        </w:rPr>
        <w:t>， XU Yunbao</w:t>
      </w:r>
      <w:r>
        <w:rPr>
          <w:rFonts w:ascii="Times New Roman" w:hAnsi="Times New Roman" w:cs="Times New Roman"/>
          <w:szCs w:val="21"/>
          <w:vertAlign w:val="superscript"/>
        </w:rPr>
        <w:t>1</w:t>
      </w:r>
      <w:r>
        <w:rPr>
          <w:rFonts w:ascii="Times New Roman" w:hAnsi="Times New Roman" w:cs="Times New Roman"/>
          <w:szCs w:val="21"/>
        </w:rPr>
        <w:t>， LI Yuanhui</w:t>
      </w:r>
      <w:r>
        <w:rPr>
          <w:rFonts w:ascii="Times New Roman" w:hAnsi="Times New Roman" w:cs="Times New Roman"/>
          <w:szCs w:val="21"/>
          <w:vertAlign w:val="superscript"/>
        </w:rPr>
        <w:t>2</w:t>
      </w:r>
    </w:p>
    <w:p>
      <w:pPr>
        <w:spacing w:line="400" w:lineRule="exact"/>
        <w:jc w:val="center"/>
        <w:rPr>
          <w:rFonts w:hint="eastAsia"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 xml:space="preserve"> School of Economic</w:t>
      </w:r>
      <w:r>
        <w:rPr>
          <w:rFonts w:hint="eastAsia" w:ascii="Times New Roman" w:hAnsi="Times New Roman" w:cs="Times New Roman"/>
          <w:szCs w:val="21"/>
        </w:rPr>
        <w:t>s,</w:t>
      </w:r>
      <w:r>
        <w:rPr>
          <w:rFonts w:ascii="Times New Roman" w:hAnsi="Times New Roman" w:cs="Times New Roman"/>
          <w:szCs w:val="21"/>
        </w:rPr>
        <w:t xml:space="preserve"> Hunan Institute of Engineering</w:t>
      </w:r>
      <w:r>
        <w:rPr>
          <w:rFonts w:hint="eastAsia" w:ascii="Times New Roman" w:hAnsi="Times New Roman" w:cs="Times New Roman"/>
          <w:szCs w:val="21"/>
        </w:rPr>
        <w:t>,</w:t>
      </w:r>
      <w:r>
        <w:rPr>
          <w:rFonts w:ascii="Times New Roman" w:hAnsi="Times New Roman" w:cs="Times New Roman"/>
          <w:szCs w:val="21"/>
        </w:rPr>
        <w:t xml:space="preserve"> Xiangtan, Hunan 411104</w:t>
      </w:r>
      <w:r>
        <w:rPr>
          <w:rFonts w:hint="eastAsia" w:ascii="Times New Roman" w:hAnsi="Times New Roman" w:cs="Times New Roman"/>
          <w:szCs w:val="21"/>
        </w:rPr>
        <w:t>,</w:t>
      </w:r>
      <w:r>
        <w:rPr>
          <w:rFonts w:ascii="Times New Roman" w:hAnsi="Times New Roman" w:cs="Times New Roman"/>
          <w:szCs w:val="21"/>
        </w:rPr>
        <w:t xml:space="preserve"> China</w:t>
      </w:r>
      <w:r>
        <w:rPr>
          <w:rFonts w:hint="eastAsia" w:ascii="Times New Roman" w:hAnsi="Times New Roman" w:cs="Times New Roman"/>
          <w:szCs w:val="21"/>
        </w:rPr>
        <w:t>;</w:t>
      </w:r>
    </w:p>
    <w:p>
      <w:pPr>
        <w:spacing w:line="400" w:lineRule="exact"/>
        <w:jc w:val="center"/>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 xml:space="preserve"> School of Computer and </w:t>
      </w:r>
      <w:r>
        <w:rPr>
          <w:rFonts w:hint="eastAsia" w:ascii="Times New Roman" w:hAnsi="Times New Roman" w:cs="Times New Roman"/>
          <w:szCs w:val="21"/>
        </w:rPr>
        <w:t>C</w:t>
      </w:r>
      <w:r>
        <w:rPr>
          <w:rFonts w:ascii="Times New Roman" w:hAnsi="Times New Roman" w:cs="Times New Roman"/>
          <w:szCs w:val="21"/>
        </w:rPr>
        <w:t>ommunication</w:t>
      </w:r>
      <w:r>
        <w:rPr>
          <w:rFonts w:hint="eastAsia" w:ascii="Times New Roman" w:hAnsi="Times New Roman" w:cs="Times New Roman"/>
          <w:szCs w:val="21"/>
        </w:rPr>
        <w:t>,</w:t>
      </w:r>
      <w:r>
        <w:rPr>
          <w:rFonts w:ascii="Times New Roman" w:hAnsi="Times New Roman" w:cs="Times New Roman"/>
          <w:szCs w:val="21"/>
        </w:rPr>
        <w:t xml:space="preserve"> Hunan Institute of Engineering</w:t>
      </w:r>
      <w:r>
        <w:rPr>
          <w:rFonts w:hint="eastAsia" w:ascii="Times New Roman" w:hAnsi="Times New Roman" w:cs="Times New Roman"/>
          <w:szCs w:val="21"/>
        </w:rPr>
        <w:t>,</w:t>
      </w:r>
      <w:r>
        <w:rPr>
          <w:rFonts w:ascii="Times New Roman" w:hAnsi="Times New Roman" w:cs="Times New Roman"/>
          <w:szCs w:val="21"/>
        </w:rPr>
        <w:t xml:space="preserve"> Xiangtan, Hunan 411104</w:t>
      </w:r>
      <w:r>
        <w:rPr>
          <w:rFonts w:hint="eastAsia" w:ascii="Times New Roman" w:hAnsi="Times New Roman" w:cs="Times New Roman"/>
          <w:szCs w:val="21"/>
        </w:rPr>
        <w:t>,</w:t>
      </w:r>
      <w:r>
        <w:rPr>
          <w:rFonts w:ascii="Times New Roman" w:hAnsi="Times New Roman" w:cs="Times New Roman"/>
          <w:szCs w:val="21"/>
        </w:rPr>
        <w:t xml:space="preserve"> China）</w:t>
      </w:r>
    </w:p>
    <w:p>
      <w:pPr>
        <w:spacing w:line="400" w:lineRule="exact"/>
        <w:ind w:firstLine="422" w:firstLineChars="200"/>
        <w:rPr>
          <w:rFonts w:ascii="Times New Roman" w:hAnsi="Times New Roman" w:cs="Times New Roman"/>
          <w:szCs w:val="21"/>
        </w:rPr>
      </w:pPr>
      <w:r>
        <w:rPr>
          <w:rFonts w:ascii="Times New Roman" w:hAnsi="Times New Roman" w:cs="Times New Roman"/>
          <w:b/>
          <w:szCs w:val="21"/>
        </w:rPr>
        <w:t>Abstract</w:t>
      </w:r>
      <w:r>
        <w:rPr>
          <w:rFonts w:hint="eastAsia" w:ascii="Times New Roman" w:hAnsi="Times New Roman" w:cs="Times New Roman"/>
          <w:b/>
          <w:szCs w:val="21"/>
        </w:rPr>
        <w:t xml:space="preserve">: </w:t>
      </w:r>
      <w:r>
        <w:rPr>
          <w:rFonts w:ascii="Times New Roman" w:hAnsi="Times New Roman" w:cs="Times New Roman"/>
          <w:szCs w:val="21"/>
        </w:rPr>
        <w:t>Artificial intelligence is promoting the transformation of industrial development</w:t>
      </w:r>
      <w:r>
        <w:rPr>
          <w:rFonts w:hint="eastAsia" w:ascii="Times New Roman" w:hAnsi="Times New Roman" w:cs="Times New Roman"/>
          <w:szCs w:val="21"/>
        </w:rPr>
        <w:t>, which</w:t>
      </w:r>
      <w:r>
        <w:rPr>
          <w:rFonts w:ascii="Times New Roman" w:hAnsi="Times New Roman" w:cs="Times New Roman"/>
          <w:szCs w:val="21"/>
        </w:rPr>
        <w:t xml:space="preserve"> lead</w:t>
      </w:r>
      <w:r>
        <w:rPr>
          <w:rFonts w:hint="eastAsia" w:ascii="Times New Roman" w:hAnsi="Times New Roman" w:cs="Times New Roman"/>
          <w:szCs w:val="21"/>
        </w:rPr>
        <w:t>s</w:t>
      </w:r>
      <w:r>
        <w:rPr>
          <w:rFonts w:ascii="Times New Roman" w:hAnsi="Times New Roman" w:cs="Times New Roman"/>
          <w:szCs w:val="21"/>
        </w:rPr>
        <w:t xml:space="preserve"> to the transformation of talent demand and ha</w:t>
      </w:r>
      <w:r>
        <w:rPr>
          <w:rFonts w:hint="eastAsia" w:ascii="Times New Roman" w:hAnsi="Times New Roman" w:cs="Times New Roman"/>
          <w:szCs w:val="21"/>
        </w:rPr>
        <w:t>s</w:t>
      </w:r>
      <w:r>
        <w:rPr>
          <w:rFonts w:ascii="Times New Roman" w:hAnsi="Times New Roman" w:cs="Times New Roman"/>
          <w:szCs w:val="21"/>
        </w:rPr>
        <w:t xml:space="preserve"> inverse influence on the talent training mode of local application-oriented institute</w:t>
      </w:r>
      <w:r>
        <w:rPr>
          <w:rFonts w:hint="eastAsia" w:ascii="Times New Roman" w:hAnsi="Times New Roman" w:cs="Times New Roman"/>
          <w:szCs w:val="21"/>
        </w:rPr>
        <w:t>s</w:t>
      </w:r>
      <w:r>
        <w:rPr>
          <w:rFonts w:ascii="Times New Roman" w:hAnsi="Times New Roman" w:cs="Times New Roman"/>
          <w:szCs w:val="21"/>
        </w:rPr>
        <w:t xml:space="preserve">. </w:t>
      </w:r>
      <w:r>
        <w:rPr>
          <w:rFonts w:hint="eastAsia" w:ascii="Times New Roman" w:hAnsi="Times New Roman" w:cs="Times New Roman"/>
          <w:szCs w:val="21"/>
        </w:rPr>
        <w:t xml:space="preserve">Some common shortcomings of </w:t>
      </w:r>
      <w:r>
        <w:rPr>
          <w:rFonts w:ascii="Times New Roman" w:hAnsi="Times New Roman" w:cs="Times New Roman"/>
          <w:szCs w:val="21"/>
        </w:rPr>
        <w:t>application-oriented institute</w:t>
      </w:r>
      <w:r>
        <w:rPr>
          <w:rFonts w:hint="eastAsia" w:ascii="Times New Roman" w:hAnsi="Times New Roman" w:cs="Times New Roman"/>
          <w:szCs w:val="21"/>
        </w:rPr>
        <w:t>s in their service to local economy</w:t>
      </w:r>
      <w:r>
        <w:rPr>
          <w:rFonts w:ascii="Times New Roman" w:hAnsi="Times New Roman" w:cs="Times New Roman"/>
          <w:szCs w:val="21"/>
        </w:rPr>
        <w:t xml:space="preserve"> </w:t>
      </w:r>
      <w:r>
        <w:rPr>
          <w:rFonts w:hint="eastAsia" w:ascii="Times New Roman" w:hAnsi="Times New Roman" w:cs="Times New Roman"/>
          <w:szCs w:val="21"/>
        </w:rPr>
        <w:t>include the lack of integration between t</w:t>
      </w:r>
      <w:r>
        <w:rPr>
          <w:rFonts w:ascii="Times New Roman" w:hAnsi="Times New Roman" w:cs="Times New Roman"/>
          <w:szCs w:val="21"/>
        </w:rPr>
        <w:t xml:space="preserve">alent training and artificial intelligence, </w:t>
      </w:r>
      <w:r>
        <w:rPr>
          <w:rFonts w:hint="eastAsia" w:ascii="Times New Roman" w:hAnsi="Times New Roman" w:cs="Times New Roman"/>
          <w:szCs w:val="21"/>
        </w:rPr>
        <w:t xml:space="preserve">the mismatching between </w:t>
      </w:r>
      <w:r>
        <w:rPr>
          <w:rFonts w:ascii="Times New Roman" w:hAnsi="Times New Roman" w:cs="Times New Roman"/>
          <w:szCs w:val="21"/>
        </w:rPr>
        <w:t xml:space="preserve">training goal and </w:t>
      </w:r>
      <w:r>
        <w:rPr>
          <w:rFonts w:hint="eastAsia" w:ascii="Times New Roman" w:hAnsi="Times New Roman" w:cs="Times New Roman"/>
          <w:szCs w:val="21"/>
        </w:rPr>
        <w:t>job</w:t>
      </w:r>
      <w:r>
        <w:rPr>
          <w:rFonts w:ascii="Times New Roman" w:hAnsi="Times New Roman" w:cs="Times New Roman"/>
          <w:szCs w:val="21"/>
        </w:rPr>
        <w:t xml:space="preserve"> requirement, </w:t>
      </w:r>
      <w:r>
        <w:rPr>
          <w:rFonts w:hint="eastAsia" w:ascii="Times New Roman" w:hAnsi="Times New Roman" w:cs="Times New Roman"/>
          <w:szCs w:val="21"/>
        </w:rPr>
        <w:t xml:space="preserve">the inconformity between </w:t>
      </w:r>
      <w:r>
        <w:rPr>
          <w:rFonts w:ascii="Times New Roman" w:hAnsi="Times New Roman" w:cs="Times New Roman"/>
          <w:szCs w:val="21"/>
        </w:rPr>
        <w:t xml:space="preserve">teaching and learning, </w:t>
      </w:r>
      <w:r>
        <w:rPr>
          <w:rFonts w:hint="eastAsia" w:ascii="Times New Roman" w:hAnsi="Times New Roman" w:cs="Times New Roman"/>
          <w:szCs w:val="21"/>
        </w:rPr>
        <w:t xml:space="preserve">the neglect of </w:t>
      </w:r>
      <w:r>
        <w:rPr>
          <w:rFonts w:ascii="Times New Roman" w:hAnsi="Times New Roman" w:cs="Times New Roman"/>
          <w:szCs w:val="21"/>
        </w:rPr>
        <w:t xml:space="preserve">experiment curriculum, </w:t>
      </w:r>
      <w:r>
        <w:rPr>
          <w:rFonts w:hint="eastAsia" w:ascii="Times New Roman" w:hAnsi="Times New Roman" w:cs="Times New Roman"/>
          <w:szCs w:val="21"/>
        </w:rPr>
        <w:t xml:space="preserve">and the lack of </w:t>
      </w:r>
      <w:r>
        <w:rPr>
          <w:rFonts w:ascii="Times New Roman" w:hAnsi="Times New Roman" w:cs="Times New Roman"/>
          <w:szCs w:val="21"/>
        </w:rPr>
        <w:t xml:space="preserve">data analysis </w:t>
      </w:r>
      <w:r>
        <w:rPr>
          <w:rFonts w:hint="eastAsia" w:ascii="Times New Roman" w:hAnsi="Times New Roman" w:cs="Times New Roman"/>
          <w:szCs w:val="21"/>
        </w:rPr>
        <w:t>courses</w:t>
      </w:r>
      <w:r>
        <w:rPr>
          <w:rFonts w:ascii="Times New Roman" w:hAnsi="Times New Roman" w:cs="Times New Roman"/>
          <w:szCs w:val="21"/>
        </w:rPr>
        <w:t xml:space="preserve">. </w:t>
      </w:r>
      <w:r>
        <w:rPr>
          <w:rFonts w:hint="eastAsia" w:ascii="Times New Roman" w:hAnsi="Times New Roman" w:cs="Times New Roman"/>
          <w:szCs w:val="21"/>
        </w:rPr>
        <w:t xml:space="preserve">Nevertheless, such institutes do have some advantages that provide a realistic foundation for implementing artificial intelligence in the reform of undergraduate majors: its large database accumulated through years, </w:t>
      </w:r>
      <w:r>
        <w:rPr>
          <w:rFonts w:ascii="Times New Roman" w:hAnsi="Times New Roman" w:cs="Times New Roman"/>
          <w:szCs w:val="21"/>
        </w:rPr>
        <w:t xml:space="preserve">the pressure of </w:t>
      </w:r>
      <w:r>
        <w:rPr>
          <w:rFonts w:hint="eastAsia" w:ascii="Times New Roman" w:hAnsi="Times New Roman" w:cs="Times New Roman"/>
          <w:szCs w:val="21"/>
        </w:rPr>
        <w:t xml:space="preserve">the reform of higher education institutes, </w:t>
      </w:r>
      <w:r>
        <w:rPr>
          <w:rFonts w:ascii="Times New Roman" w:hAnsi="Times New Roman" w:cs="Times New Roman"/>
          <w:szCs w:val="21"/>
        </w:rPr>
        <w:t xml:space="preserve">the </w:t>
      </w:r>
      <w:r>
        <w:rPr>
          <w:rFonts w:hint="eastAsia" w:ascii="Times New Roman" w:hAnsi="Times New Roman" w:cs="Times New Roman"/>
          <w:szCs w:val="21"/>
        </w:rPr>
        <w:t>appeal of objective evaluation of</w:t>
      </w:r>
      <w:r>
        <w:rPr>
          <w:rFonts w:ascii="Times New Roman" w:hAnsi="Times New Roman" w:cs="Times New Roman"/>
          <w:szCs w:val="21"/>
        </w:rPr>
        <w:t xml:space="preserve"> teachers, </w:t>
      </w:r>
      <w:r>
        <w:rPr>
          <w:rFonts w:hint="eastAsia" w:ascii="Times New Roman" w:hAnsi="Times New Roman" w:cs="Times New Roman"/>
          <w:szCs w:val="21"/>
        </w:rPr>
        <w:t xml:space="preserve">and the </w:t>
      </w:r>
      <w:r>
        <w:rPr>
          <w:rFonts w:ascii="Times New Roman" w:hAnsi="Times New Roman" w:cs="Times New Roman"/>
          <w:szCs w:val="21"/>
        </w:rPr>
        <w:t xml:space="preserve">positive and effective management </w:t>
      </w:r>
      <w:r>
        <w:rPr>
          <w:rFonts w:hint="eastAsia" w:ascii="Times New Roman" w:hAnsi="Times New Roman" w:cs="Times New Roman"/>
          <w:szCs w:val="21"/>
        </w:rPr>
        <w:t>of</w:t>
      </w:r>
      <w:r>
        <w:rPr>
          <w:rFonts w:ascii="Times New Roman" w:hAnsi="Times New Roman" w:cs="Times New Roman"/>
          <w:szCs w:val="21"/>
        </w:rPr>
        <w:t xml:space="preserve"> students. Application-oriented institute</w:t>
      </w:r>
      <w:r>
        <w:rPr>
          <w:rFonts w:hint="eastAsia" w:ascii="Times New Roman" w:hAnsi="Times New Roman" w:cs="Times New Roman"/>
          <w:szCs w:val="21"/>
        </w:rPr>
        <w:t xml:space="preserve">s </w:t>
      </w:r>
      <w:r>
        <w:rPr>
          <w:rFonts w:ascii="Times New Roman" w:hAnsi="Times New Roman" w:cs="Times New Roman"/>
          <w:szCs w:val="21"/>
        </w:rPr>
        <w:t xml:space="preserve">can </w:t>
      </w:r>
      <w:r>
        <w:rPr>
          <w:rFonts w:hint="eastAsia" w:ascii="Times New Roman" w:hAnsi="Times New Roman" w:cs="Times New Roman"/>
          <w:szCs w:val="21"/>
        </w:rPr>
        <w:t xml:space="preserve">proceed with their </w:t>
      </w:r>
      <w:r>
        <w:rPr>
          <w:rFonts w:ascii="Times New Roman" w:hAnsi="Times New Roman" w:cs="Times New Roman"/>
          <w:szCs w:val="21"/>
        </w:rPr>
        <w:t xml:space="preserve">reform </w:t>
      </w:r>
      <w:r>
        <w:rPr>
          <w:rFonts w:hint="eastAsia" w:ascii="Times New Roman" w:hAnsi="Times New Roman" w:cs="Times New Roman"/>
          <w:szCs w:val="21"/>
        </w:rPr>
        <w:t>from</w:t>
      </w:r>
      <w:r>
        <w:rPr>
          <w:rFonts w:ascii="Times New Roman" w:hAnsi="Times New Roman" w:cs="Times New Roman"/>
          <w:szCs w:val="21"/>
        </w:rPr>
        <w:t xml:space="preserve"> four aspects</w:t>
      </w:r>
      <w:r>
        <w:rPr>
          <w:rFonts w:hint="eastAsia" w:ascii="Times New Roman" w:hAnsi="Times New Roman" w:cs="Times New Roman"/>
          <w:szCs w:val="21"/>
        </w:rPr>
        <w:t>, including the</w:t>
      </w:r>
      <w:r>
        <w:rPr>
          <w:rFonts w:ascii="Times New Roman" w:hAnsi="Times New Roman" w:cs="Times New Roman"/>
          <w:szCs w:val="21"/>
        </w:rPr>
        <w:t xml:space="preserve"> establish</w:t>
      </w:r>
      <w:r>
        <w:rPr>
          <w:rFonts w:hint="eastAsia" w:ascii="Times New Roman" w:hAnsi="Times New Roman" w:cs="Times New Roman"/>
          <w:szCs w:val="21"/>
        </w:rPr>
        <w:t xml:space="preserve">ment of a </w:t>
      </w:r>
      <w:r>
        <w:rPr>
          <w:rFonts w:ascii="Times New Roman" w:hAnsi="Times New Roman" w:cs="Times New Roman"/>
          <w:szCs w:val="21"/>
        </w:rPr>
        <w:t xml:space="preserve">data sector, </w:t>
      </w:r>
      <w:r>
        <w:rPr>
          <w:rFonts w:hint="eastAsia" w:ascii="Times New Roman" w:hAnsi="Times New Roman" w:cs="Times New Roman"/>
          <w:szCs w:val="21"/>
        </w:rPr>
        <w:t xml:space="preserve">the </w:t>
      </w:r>
      <w:r>
        <w:rPr>
          <w:rFonts w:ascii="Times New Roman" w:hAnsi="Times New Roman" w:cs="Times New Roman"/>
          <w:szCs w:val="21"/>
        </w:rPr>
        <w:t>development</w:t>
      </w:r>
      <w:r>
        <w:rPr>
          <w:rFonts w:hint="eastAsia" w:ascii="Times New Roman" w:hAnsi="Times New Roman" w:cs="Times New Roman"/>
          <w:szCs w:val="21"/>
        </w:rPr>
        <w:t xml:space="preserve"> of a </w:t>
      </w:r>
      <w:r>
        <w:rPr>
          <w:rFonts w:ascii="Times New Roman" w:hAnsi="Times New Roman" w:cs="Times New Roman"/>
          <w:szCs w:val="21"/>
        </w:rPr>
        <w:t>general c</w:t>
      </w:r>
      <w:r>
        <w:rPr>
          <w:rFonts w:hint="eastAsia" w:ascii="Times New Roman" w:hAnsi="Times New Roman" w:cs="Times New Roman"/>
          <w:szCs w:val="21"/>
        </w:rPr>
        <w:t>ourse</w:t>
      </w:r>
      <w:r>
        <w:rPr>
          <w:rFonts w:ascii="Times New Roman" w:hAnsi="Times New Roman" w:cs="Times New Roman"/>
          <w:szCs w:val="21"/>
        </w:rPr>
        <w:t xml:space="preserve"> </w:t>
      </w:r>
      <w:r>
        <w:rPr>
          <w:rFonts w:hint="eastAsia" w:ascii="Times New Roman" w:hAnsi="Times New Roman" w:cs="Times New Roman"/>
          <w:szCs w:val="21"/>
        </w:rPr>
        <w:t>on</w:t>
      </w:r>
      <w:r>
        <w:rPr>
          <w:rFonts w:ascii="Times New Roman" w:hAnsi="Times New Roman" w:cs="Times New Roman"/>
          <w:szCs w:val="21"/>
        </w:rPr>
        <w:t xml:space="preserve"> artificial intelligence technology, </w:t>
      </w:r>
      <w:r>
        <w:rPr>
          <w:rFonts w:hint="eastAsia" w:ascii="Times New Roman" w:hAnsi="Times New Roman" w:cs="Times New Roman"/>
          <w:szCs w:val="21"/>
        </w:rPr>
        <w:t xml:space="preserve">the integration </w:t>
      </w:r>
      <w:r>
        <w:rPr>
          <w:rFonts w:ascii="Times New Roman" w:hAnsi="Times New Roman" w:cs="Times New Roman"/>
          <w:szCs w:val="21"/>
        </w:rPr>
        <w:t xml:space="preserve">of artificial intelligence technology and </w:t>
      </w:r>
      <w:r>
        <w:rPr>
          <w:rFonts w:hint="eastAsia" w:ascii="Times New Roman" w:hAnsi="Times New Roman" w:cs="Times New Roman"/>
          <w:szCs w:val="21"/>
        </w:rPr>
        <w:t xml:space="preserve">the features of undergraduate </w:t>
      </w:r>
      <w:r>
        <w:rPr>
          <w:rFonts w:ascii="Times New Roman" w:hAnsi="Times New Roman" w:cs="Times New Roman"/>
          <w:szCs w:val="21"/>
        </w:rPr>
        <w:t xml:space="preserve">majors, </w:t>
      </w:r>
      <w:r>
        <w:rPr>
          <w:rFonts w:hint="eastAsia" w:ascii="Times New Roman" w:hAnsi="Times New Roman" w:cs="Times New Roman"/>
          <w:szCs w:val="21"/>
        </w:rPr>
        <w:t>and the incorporation of artificial intelligence in the training process of majors</w:t>
      </w:r>
      <w:r>
        <w:rPr>
          <w:rFonts w:ascii="Times New Roman" w:hAnsi="Times New Roman" w:cs="Times New Roman"/>
          <w:szCs w:val="21"/>
        </w:rPr>
        <w:t>.</w:t>
      </w:r>
    </w:p>
    <w:p>
      <w:pPr>
        <w:spacing w:line="400" w:lineRule="exact"/>
        <w:ind w:firstLine="422" w:firstLineChars="200"/>
        <w:rPr>
          <w:rFonts w:ascii="Times New Roman" w:hAnsi="Times New Roman" w:cs="Times New Roman"/>
          <w:szCs w:val="21"/>
        </w:rPr>
      </w:pPr>
      <w:r>
        <w:rPr>
          <w:rFonts w:ascii="Times New Roman" w:hAnsi="Times New Roman" w:cs="Times New Roman"/>
          <w:b/>
          <w:szCs w:val="21"/>
        </w:rPr>
        <w:t>Keyword:</w:t>
      </w:r>
      <w:r>
        <w:rPr>
          <w:rFonts w:ascii="Times New Roman" w:hAnsi="Times New Roman" w:cs="Times New Roman"/>
          <w:szCs w:val="21"/>
        </w:rPr>
        <w:t xml:space="preserve"> artificial intelligence</w:t>
      </w:r>
      <w:r>
        <w:rPr>
          <w:rFonts w:hint="eastAsia" w:ascii="Times New Roman" w:hAnsi="Times New Roman" w:cs="Times New Roman"/>
          <w:szCs w:val="21"/>
        </w:rPr>
        <w:t>; t</w:t>
      </w:r>
      <w:r>
        <w:rPr>
          <w:rFonts w:ascii="Times New Roman" w:hAnsi="Times New Roman" w:cs="Times New Roman"/>
          <w:szCs w:val="21"/>
        </w:rPr>
        <w:t>eaching reform</w:t>
      </w:r>
      <w:r>
        <w:rPr>
          <w:rFonts w:hint="eastAsia" w:ascii="Times New Roman" w:hAnsi="Times New Roman" w:cs="Times New Roman"/>
          <w:szCs w:val="21"/>
        </w:rPr>
        <w:t>; t</w:t>
      </w:r>
      <w:r>
        <w:rPr>
          <w:rFonts w:ascii="Times New Roman" w:hAnsi="Times New Roman" w:cs="Times New Roman"/>
          <w:szCs w:val="21"/>
        </w:rPr>
        <w:t>alent training</w:t>
      </w:r>
    </w:p>
    <w:p>
      <w:pPr>
        <w:spacing w:line="400" w:lineRule="exact"/>
        <w:ind w:firstLine="369" w:firstLineChars="175"/>
        <w:rPr>
          <w:rFonts w:hint="eastAsia" w:asciiTheme="minorEastAsia" w:hAnsiTheme="minorEastAsia" w:eastAsiaTheme="minorEastAsia"/>
          <w:b/>
          <w:szCs w:val="21"/>
          <w:lang w:eastAsia="zh-CN"/>
        </w:rPr>
      </w:pPr>
      <w:r>
        <w:rPr>
          <w:rFonts w:hint="eastAsia" w:asciiTheme="minorEastAsia" w:hAnsiTheme="minorEastAsia"/>
          <w:b/>
          <w:szCs w:val="21"/>
          <w:lang w:eastAsia="zh-CN"/>
        </w:rPr>
        <w:t>（责任编辑：曹慧）</w:t>
      </w:r>
      <w:bookmarkStart w:id="20" w:name="_GoBack"/>
      <w:bookmarkEnd w:id="2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7830491"/>
      <w:docPartObj>
        <w:docPartGallery w:val="autotext"/>
      </w:docPartObj>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rPr>
          <w:rFonts w:ascii="Times New Roman" w:hAnsi="Times New Roman"/>
          <w:kern w:val="0"/>
          <w:sz w:val="18"/>
          <w:szCs w:val="18"/>
        </w:rPr>
      </w:pPr>
      <w:r>
        <w:rPr>
          <w:rStyle w:val="19"/>
        </w:rPr>
        <w:footnoteRef/>
      </w:r>
      <w:r>
        <w:t xml:space="preserve"> </w:t>
      </w:r>
      <w:r>
        <w:rPr>
          <w:rFonts w:ascii="Times New Roman" w:hAnsi="宋体"/>
          <w:kern w:val="0"/>
          <w:sz w:val="18"/>
          <w:szCs w:val="18"/>
        </w:rPr>
        <w:t>收稿日期：</w:t>
      </w:r>
      <w:r>
        <w:rPr>
          <w:rFonts w:ascii="Times New Roman" w:hAnsi="Times New Roman"/>
          <w:kern w:val="0"/>
          <w:sz w:val="18"/>
          <w:szCs w:val="18"/>
        </w:rPr>
        <w:t>2018</w:t>
      </w:r>
      <w:r>
        <w:rPr>
          <w:rFonts w:ascii="Times New Roman" w:hAnsi="宋体"/>
          <w:kern w:val="0"/>
          <w:sz w:val="18"/>
          <w:szCs w:val="18"/>
        </w:rPr>
        <w:t>年</w:t>
      </w:r>
      <w:r>
        <w:rPr>
          <w:rFonts w:hint="eastAsia" w:ascii="Times New Roman" w:hAnsi="宋体"/>
          <w:kern w:val="0"/>
          <w:sz w:val="18"/>
          <w:szCs w:val="18"/>
        </w:rPr>
        <w:t>0</w:t>
      </w:r>
      <w:r>
        <w:rPr>
          <w:rFonts w:ascii="Times New Roman" w:hAnsi="Times New Roman"/>
          <w:kern w:val="0"/>
          <w:sz w:val="18"/>
          <w:szCs w:val="18"/>
        </w:rPr>
        <w:t>8</w:t>
      </w:r>
      <w:r>
        <w:rPr>
          <w:rFonts w:ascii="Times New Roman" w:hAnsi="宋体"/>
          <w:kern w:val="0"/>
          <w:sz w:val="18"/>
          <w:szCs w:val="18"/>
        </w:rPr>
        <w:t>月</w:t>
      </w:r>
      <w:r>
        <w:rPr>
          <w:rFonts w:hint="eastAsia" w:ascii="Times New Roman" w:hAnsi="宋体"/>
          <w:kern w:val="0"/>
          <w:sz w:val="18"/>
          <w:szCs w:val="18"/>
        </w:rPr>
        <w:t>0</w:t>
      </w:r>
      <w:r>
        <w:rPr>
          <w:rFonts w:ascii="Times New Roman" w:hAnsi="Times New Roman"/>
          <w:kern w:val="0"/>
          <w:sz w:val="18"/>
          <w:szCs w:val="18"/>
        </w:rPr>
        <w:t>1</w:t>
      </w:r>
      <w:r>
        <w:rPr>
          <w:rFonts w:ascii="Times New Roman" w:hAnsi="宋体"/>
          <w:kern w:val="0"/>
          <w:sz w:val="18"/>
          <w:szCs w:val="18"/>
        </w:rPr>
        <w:t>日。</w:t>
      </w:r>
    </w:p>
    <w:p>
      <w:pPr>
        <w:widowControl/>
        <w:ind w:firstLine="180" w:firstLineChars="100"/>
        <w:rPr>
          <w:rFonts w:ascii="Times New Roman" w:hAnsi="宋体"/>
          <w:color w:val="000000"/>
          <w:kern w:val="0"/>
          <w:sz w:val="18"/>
          <w:szCs w:val="18"/>
        </w:rPr>
      </w:pPr>
      <w:r>
        <w:rPr>
          <w:rFonts w:ascii="Times New Roman" w:hAnsi="宋体"/>
          <w:color w:val="000000"/>
          <w:kern w:val="0"/>
          <w:sz w:val="18"/>
          <w:szCs w:val="18"/>
        </w:rPr>
        <w:t>作者简介：</w:t>
      </w:r>
      <w:r>
        <w:rPr>
          <w:rFonts w:hint="eastAsia" w:ascii="Times New Roman" w:hAnsi="宋体"/>
          <w:color w:val="000000"/>
          <w:kern w:val="0"/>
          <w:sz w:val="18"/>
          <w:szCs w:val="18"/>
        </w:rPr>
        <w:t>陈辉民（1975-）男，湖南新宁</w:t>
      </w:r>
      <w:r>
        <w:rPr>
          <w:rFonts w:hint="eastAsia" w:ascii="Times New Roman" w:hAnsi="宋体"/>
          <w:color w:val="000000"/>
          <w:kern w:val="0"/>
          <w:sz w:val="18"/>
          <w:szCs w:val="18"/>
          <w:lang w:eastAsia="zh-CN"/>
        </w:rPr>
        <w:t>人</w:t>
      </w:r>
      <w:r>
        <w:rPr>
          <w:rFonts w:hint="eastAsia" w:ascii="Times New Roman" w:hAnsi="宋体"/>
          <w:color w:val="000000"/>
          <w:kern w:val="0"/>
          <w:sz w:val="18"/>
          <w:szCs w:val="18"/>
        </w:rPr>
        <w:t>，副教授，硕士，研究方向：金融工程、国际贸易。</w:t>
      </w:r>
    </w:p>
    <w:p>
      <w:pPr>
        <w:widowControl/>
        <w:ind w:firstLine="180" w:firstLineChars="100"/>
        <w:rPr>
          <w:rFonts w:ascii="Times New Roman" w:hAnsi="宋体"/>
          <w:color w:val="000000"/>
          <w:kern w:val="0"/>
          <w:sz w:val="18"/>
          <w:szCs w:val="18"/>
        </w:rPr>
      </w:pPr>
      <w:r>
        <w:rPr>
          <w:rFonts w:hint="eastAsia" w:ascii="Times New Roman" w:hAnsi="宋体"/>
          <w:color w:val="000000"/>
          <w:kern w:val="0"/>
          <w:sz w:val="18"/>
          <w:szCs w:val="18"/>
        </w:rPr>
        <w:t xml:space="preserve"> </w:t>
      </w:r>
      <w:r>
        <w:rPr>
          <w:rFonts w:ascii="Times New Roman" w:hAnsi="宋体"/>
          <w:color w:val="000000"/>
          <w:kern w:val="0"/>
          <w:sz w:val="18"/>
          <w:szCs w:val="18"/>
        </w:rPr>
        <w:t xml:space="preserve">         徐运保</w:t>
      </w:r>
      <w:r>
        <w:rPr>
          <w:rFonts w:hint="eastAsia" w:ascii="Times New Roman" w:hAnsi="宋体"/>
          <w:color w:val="000000"/>
          <w:kern w:val="0"/>
          <w:sz w:val="18"/>
          <w:szCs w:val="18"/>
        </w:rPr>
        <w:t>（1</w:t>
      </w:r>
      <w:r>
        <w:rPr>
          <w:rFonts w:ascii="Times New Roman" w:hAnsi="宋体"/>
          <w:color w:val="000000"/>
          <w:kern w:val="0"/>
          <w:sz w:val="18"/>
          <w:szCs w:val="18"/>
        </w:rPr>
        <w:t>970</w:t>
      </w:r>
      <w:r>
        <w:rPr>
          <w:rFonts w:hint="eastAsia" w:ascii="Times New Roman" w:hAnsi="宋体"/>
          <w:color w:val="000000"/>
          <w:kern w:val="0"/>
          <w:sz w:val="18"/>
          <w:szCs w:val="18"/>
        </w:rPr>
        <w:t>-），男，湖南新宁</w:t>
      </w:r>
      <w:r>
        <w:rPr>
          <w:rFonts w:hint="eastAsia" w:ascii="Times New Roman" w:hAnsi="宋体"/>
          <w:color w:val="000000"/>
          <w:kern w:val="0"/>
          <w:sz w:val="18"/>
          <w:szCs w:val="18"/>
          <w:lang w:eastAsia="zh-CN"/>
        </w:rPr>
        <w:t>人</w:t>
      </w:r>
      <w:r>
        <w:rPr>
          <w:rFonts w:hint="eastAsia" w:ascii="Times New Roman" w:hAnsi="宋体"/>
          <w:color w:val="000000"/>
          <w:kern w:val="0"/>
          <w:sz w:val="18"/>
          <w:szCs w:val="18"/>
        </w:rPr>
        <w:t>，教授，博士，研究方向：金融工程、管理学。</w:t>
      </w:r>
    </w:p>
    <w:p>
      <w:pPr>
        <w:widowControl/>
        <w:ind w:firstLine="1080" w:firstLineChars="600"/>
        <w:rPr>
          <w:rFonts w:ascii="Times New Roman" w:hAnsi="宋体"/>
          <w:color w:val="000000"/>
          <w:kern w:val="0"/>
          <w:sz w:val="18"/>
          <w:szCs w:val="18"/>
        </w:rPr>
      </w:pPr>
      <w:r>
        <w:rPr>
          <w:rFonts w:hint="eastAsia" w:ascii="Times New Roman" w:hAnsi="宋体"/>
          <w:color w:val="000000"/>
          <w:kern w:val="0"/>
          <w:sz w:val="18"/>
          <w:szCs w:val="18"/>
        </w:rPr>
        <w:t>李远辉（1</w:t>
      </w:r>
      <w:r>
        <w:rPr>
          <w:rFonts w:ascii="Times New Roman" w:hAnsi="宋体"/>
          <w:color w:val="000000"/>
          <w:kern w:val="0"/>
          <w:sz w:val="18"/>
          <w:szCs w:val="18"/>
        </w:rPr>
        <w:t>962</w:t>
      </w:r>
      <w:r>
        <w:rPr>
          <w:rFonts w:hint="eastAsia" w:ascii="Times New Roman" w:hAnsi="宋体"/>
          <w:color w:val="000000"/>
          <w:kern w:val="0"/>
          <w:sz w:val="18"/>
          <w:szCs w:val="18"/>
        </w:rPr>
        <w:t>-），男，湖南湘潭</w:t>
      </w:r>
      <w:r>
        <w:rPr>
          <w:rFonts w:hint="eastAsia" w:ascii="Times New Roman" w:hAnsi="宋体"/>
          <w:color w:val="000000"/>
          <w:kern w:val="0"/>
          <w:sz w:val="18"/>
          <w:szCs w:val="18"/>
          <w:lang w:eastAsia="zh-CN"/>
        </w:rPr>
        <w:t>人</w:t>
      </w:r>
      <w:r>
        <w:rPr>
          <w:rFonts w:hint="eastAsia" w:ascii="Times New Roman" w:hAnsi="宋体"/>
          <w:color w:val="000000"/>
          <w:kern w:val="0"/>
          <w:sz w:val="18"/>
          <w:szCs w:val="18"/>
        </w:rPr>
        <w:t>，讲师，硕士，研究方向：计算机网络、算法。</w:t>
      </w:r>
    </w:p>
    <w:p>
      <w:pPr>
        <w:widowControl/>
        <w:ind w:left="1110" w:leftChars="100" w:hanging="900" w:hangingChars="500"/>
        <w:rPr>
          <w:rFonts w:ascii="Times New Roman" w:hAnsi="宋体"/>
          <w:color w:val="000000"/>
          <w:kern w:val="0"/>
          <w:sz w:val="18"/>
          <w:szCs w:val="18"/>
        </w:rPr>
      </w:pPr>
      <w:r>
        <w:rPr>
          <w:rFonts w:hint="eastAsia" w:ascii="Times New Roman" w:hAnsi="宋体"/>
          <w:color w:val="000000"/>
          <w:kern w:val="0"/>
          <w:sz w:val="18"/>
          <w:szCs w:val="18"/>
        </w:rPr>
        <w:t>基金</w:t>
      </w:r>
      <w:r>
        <w:rPr>
          <w:rFonts w:ascii="Times New Roman" w:hAnsi="宋体"/>
          <w:color w:val="000000"/>
          <w:kern w:val="0"/>
          <w:sz w:val="18"/>
          <w:szCs w:val="18"/>
        </w:rPr>
        <w:t>项目</w:t>
      </w:r>
      <w:r>
        <w:rPr>
          <w:rFonts w:hint="eastAsia" w:ascii="Times New Roman" w:hAnsi="宋体"/>
          <w:color w:val="000000"/>
          <w:kern w:val="0"/>
          <w:sz w:val="18"/>
          <w:szCs w:val="18"/>
        </w:rPr>
        <w:t>：受2017年湖南工程学院教改课题“基于“双创”视角的地方应用型经济类专业实践教学体系改革与实践”的支助。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A5"/>
    <w:rsid w:val="000003EB"/>
    <w:rsid w:val="0000675E"/>
    <w:rsid w:val="0001118B"/>
    <w:rsid w:val="00011735"/>
    <w:rsid w:val="00015B8A"/>
    <w:rsid w:val="00017FC6"/>
    <w:rsid w:val="0002194B"/>
    <w:rsid w:val="0002363C"/>
    <w:rsid w:val="00027CBA"/>
    <w:rsid w:val="000405B6"/>
    <w:rsid w:val="00050001"/>
    <w:rsid w:val="000564AA"/>
    <w:rsid w:val="000603D2"/>
    <w:rsid w:val="000634CB"/>
    <w:rsid w:val="00063FAD"/>
    <w:rsid w:val="000729D3"/>
    <w:rsid w:val="000740E2"/>
    <w:rsid w:val="00074777"/>
    <w:rsid w:val="000A2270"/>
    <w:rsid w:val="000A504A"/>
    <w:rsid w:val="000A6B27"/>
    <w:rsid w:val="000B0B26"/>
    <w:rsid w:val="000B1A31"/>
    <w:rsid w:val="000C13D9"/>
    <w:rsid w:val="000C1A8E"/>
    <w:rsid w:val="000C2A41"/>
    <w:rsid w:val="000C5CF8"/>
    <w:rsid w:val="000C61AA"/>
    <w:rsid w:val="000E1E6E"/>
    <w:rsid w:val="000F02F4"/>
    <w:rsid w:val="00106261"/>
    <w:rsid w:val="001073D5"/>
    <w:rsid w:val="001125CF"/>
    <w:rsid w:val="0012603D"/>
    <w:rsid w:val="001273B3"/>
    <w:rsid w:val="00127C63"/>
    <w:rsid w:val="00127DAE"/>
    <w:rsid w:val="00132CA5"/>
    <w:rsid w:val="00140E76"/>
    <w:rsid w:val="00156225"/>
    <w:rsid w:val="00167FBE"/>
    <w:rsid w:val="001724FE"/>
    <w:rsid w:val="00175439"/>
    <w:rsid w:val="001A1BFE"/>
    <w:rsid w:val="001A38E3"/>
    <w:rsid w:val="001A5F75"/>
    <w:rsid w:val="001B609A"/>
    <w:rsid w:val="001C2A12"/>
    <w:rsid w:val="001C7CD3"/>
    <w:rsid w:val="001D3A7B"/>
    <w:rsid w:val="001E0C46"/>
    <w:rsid w:val="001E6511"/>
    <w:rsid w:val="00202E02"/>
    <w:rsid w:val="002326AD"/>
    <w:rsid w:val="00237578"/>
    <w:rsid w:val="002437A2"/>
    <w:rsid w:val="0025313C"/>
    <w:rsid w:val="002559A8"/>
    <w:rsid w:val="00260C52"/>
    <w:rsid w:val="00271314"/>
    <w:rsid w:val="002729F2"/>
    <w:rsid w:val="0027336E"/>
    <w:rsid w:val="00282E7A"/>
    <w:rsid w:val="002843AB"/>
    <w:rsid w:val="00293F90"/>
    <w:rsid w:val="00295133"/>
    <w:rsid w:val="002A1E68"/>
    <w:rsid w:val="002A31F3"/>
    <w:rsid w:val="002D463E"/>
    <w:rsid w:val="002F4FFE"/>
    <w:rsid w:val="002F6CFF"/>
    <w:rsid w:val="00301170"/>
    <w:rsid w:val="00310895"/>
    <w:rsid w:val="00320816"/>
    <w:rsid w:val="00326DD0"/>
    <w:rsid w:val="0033377A"/>
    <w:rsid w:val="003432F0"/>
    <w:rsid w:val="00344006"/>
    <w:rsid w:val="0036006E"/>
    <w:rsid w:val="003657E9"/>
    <w:rsid w:val="0039551F"/>
    <w:rsid w:val="003B018D"/>
    <w:rsid w:val="003B427A"/>
    <w:rsid w:val="003B4F29"/>
    <w:rsid w:val="003B598F"/>
    <w:rsid w:val="003C2804"/>
    <w:rsid w:val="003D5358"/>
    <w:rsid w:val="003E0C9F"/>
    <w:rsid w:val="003E2EE8"/>
    <w:rsid w:val="003F6DC3"/>
    <w:rsid w:val="004039D3"/>
    <w:rsid w:val="004201AD"/>
    <w:rsid w:val="00424D9D"/>
    <w:rsid w:val="00425946"/>
    <w:rsid w:val="00425FFA"/>
    <w:rsid w:val="00433B04"/>
    <w:rsid w:val="0043489E"/>
    <w:rsid w:val="00444257"/>
    <w:rsid w:val="0046250A"/>
    <w:rsid w:val="00465A4A"/>
    <w:rsid w:val="0047015F"/>
    <w:rsid w:val="00486E8A"/>
    <w:rsid w:val="00497357"/>
    <w:rsid w:val="004A03F1"/>
    <w:rsid w:val="004A69F4"/>
    <w:rsid w:val="004B39D4"/>
    <w:rsid w:val="004C5A9F"/>
    <w:rsid w:val="004E2A73"/>
    <w:rsid w:val="004E2FC7"/>
    <w:rsid w:val="004E4DDA"/>
    <w:rsid w:val="004F3170"/>
    <w:rsid w:val="004F5195"/>
    <w:rsid w:val="004F53E5"/>
    <w:rsid w:val="004F68D0"/>
    <w:rsid w:val="00506213"/>
    <w:rsid w:val="005131EA"/>
    <w:rsid w:val="00523B77"/>
    <w:rsid w:val="00534815"/>
    <w:rsid w:val="00536D78"/>
    <w:rsid w:val="00541B3A"/>
    <w:rsid w:val="005479A1"/>
    <w:rsid w:val="00556E67"/>
    <w:rsid w:val="005657E0"/>
    <w:rsid w:val="0056649A"/>
    <w:rsid w:val="00570D98"/>
    <w:rsid w:val="00572356"/>
    <w:rsid w:val="00580A45"/>
    <w:rsid w:val="00582F02"/>
    <w:rsid w:val="00584E6B"/>
    <w:rsid w:val="00585540"/>
    <w:rsid w:val="00592562"/>
    <w:rsid w:val="005972F8"/>
    <w:rsid w:val="005A06BE"/>
    <w:rsid w:val="005A59CD"/>
    <w:rsid w:val="005A6FC7"/>
    <w:rsid w:val="005B0AC3"/>
    <w:rsid w:val="005B14BD"/>
    <w:rsid w:val="005B3D88"/>
    <w:rsid w:val="005C7D09"/>
    <w:rsid w:val="005D66B9"/>
    <w:rsid w:val="005F159D"/>
    <w:rsid w:val="005F57E6"/>
    <w:rsid w:val="0060537B"/>
    <w:rsid w:val="006153EB"/>
    <w:rsid w:val="00615AD4"/>
    <w:rsid w:val="00621B26"/>
    <w:rsid w:val="00623FC2"/>
    <w:rsid w:val="00626196"/>
    <w:rsid w:val="00626F51"/>
    <w:rsid w:val="0063081C"/>
    <w:rsid w:val="006359FC"/>
    <w:rsid w:val="00644196"/>
    <w:rsid w:val="00652D3F"/>
    <w:rsid w:val="006611D1"/>
    <w:rsid w:val="0066171F"/>
    <w:rsid w:val="006663C1"/>
    <w:rsid w:val="0066726F"/>
    <w:rsid w:val="00667461"/>
    <w:rsid w:val="00675E6F"/>
    <w:rsid w:val="00684ED2"/>
    <w:rsid w:val="0068655D"/>
    <w:rsid w:val="00693957"/>
    <w:rsid w:val="00693CC3"/>
    <w:rsid w:val="006A7049"/>
    <w:rsid w:val="006B09CA"/>
    <w:rsid w:val="006B51B0"/>
    <w:rsid w:val="006B5B7A"/>
    <w:rsid w:val="006C1890"/>
    <w:rsid w:val="006D625A"/>
    <w:rsid w:val="006F387D"/>
    <w:rsid w:val="00707248"/>
    <w:rsid w:val="00711CC1"/>
    <w:rsid w:val="0071301A"/>
    <w:rsid w:val="00713FF8"/>
    <w:rsid w:val="007231D5"/>
    <w:rsid w:val="0072435F"/>
    <w:rsid w:val="00725270"/>
    <w:rsid w:val="007432EA"/>
    <w:rsid w:val="00762AA8"/>
    <w:rsid w:val="00762BFD"/>
    <w:rsid w:val="00787FD0"/>
    <w:rsid w:val="0079664D"/>
    <w:rsid w:val="007A3F85"/>
    <w:rsid w:val="007A4139"/>
    <w:rsid w:val="007A58CB"/>
    <w:rsid w:val="007B34AF"/>
    <w:rsid w:val="007B39E7"/>
    <w:rsid w:val="007B41B9"/>
    <w:rsid w:val="007B6644"/>
    <w:rsid w:val="007B6ABB"/>
    <w:rsid w:val="007C37DF"/>
    <w:rsid w:val="007C3EF7"/>
    <w:rsid w:val="007D06CA"/>
    <w:rsid w:val="007D3148"/>
    <w:rsid w:val="007D7561"/>
    <w:rsid w:val="007E6E98"/>
    <w:rsid w:val="00822CC6"/>
    <w:rsid w:val="00826A37"/>
    <w:rsid w:val="00827488"/>
    <w:rsid w:val="008363AE"/>
    <w:rsid w:val="00844165"/>
    <w:rsid w:val="00845E60"/>
    <w:rsid w:val="0085646A"/>
    <w:rsid w:val="00857311"/>
    <w:rsid w:val="00860FE0"/>
    <w:rsid w:val="00862EA8"/>
    <w:rsid w:val="0086519A"/>
    <w:rsid w:val="00880176"/>
    <w:rsid w:val="008930FE"/>
    <w:rsid w:val="0089785F"/>
    <w:rsid w:val="008A442E"/>
    <w:rsid w:val="008D104F"/>
    <w:rsid w:val="008D61BF"/>
    <w:rsid w:val="008F3B57"/>
    <w:rsid w:val="00905478"/>
    <w:rsid w:val="009056BD"/>
    <w:rsid w:val="00911F48"/>
    <w:rsid w:val="009134D4"/>
    <w:rsid w:val="00916C97"/>
    <w:rsid w:val="0093082F"/>
    <w:rsid w:val="00937182"/>
    <w:rsid w:val="0094649A"/>
    <w:rsid w:val="00953B62"/>
    <w:rsid w:val="00955922"/>
    <w:rsid w:val="00957841"/>
    <w:rsid w:val="00966A99"/>
    <w:rsid w:val="00970EAF"/>
    <w:rsid w:val="00973CB1"/>
    <w:rsid w:val="00977E4E"/>
    <w:rsid w:val="009955BA"/>
    <w:rsid w:val="00997660"/>
    <w:rsid w:val="009A0A48"/>
    <w:rsid w:val="009B528E"/>
    <w:rsid w:val="009C6A3D"/>
    <w:rsid w:val="009C7050"/>
    <w:rsid w:val="009C748B"/>
    <w:rsid w:val="009D350A"/>
    <w:rsid w:val="009E0074"/>
    <w:rsid w:val="009E2765"/>
    <w:rsid w:val="009F6BF7"/>
    <w:rsid w:val="00A02EDC"/>
    <w:rsid w:val="00A11EE1"/>
    <w:rsid w:val="00A314C2"/>
    <w:rsid w:val="00A325B8"/>
    <w:rsid w:val="00A53BA3"/>
    <w:rsid w:val="00A55A1A"/>
    <w:rsid w:val="00A655CC"/>
    <w:rsid w:val="00A77DC6"/>
    <w:rsid w:val="00A77E81"/>
    <w:rsid w:val="00A8035D"/>
    <w:rsid w:val="00A8551A"/>
    <w:rsid w:val="00A90219"/>
    <w:rsid w:val="00A90635"/>
    <w:rsid w:val="00AB188B"/>
    <w:rsid w:val="00AB1D3C"/>
    <w:rsid w:val="00AC1ADE"/>
    <w:rsid w:val="00AC4AEC"/>
    <w:rsid w:val="00AC6436"/>
    <w:rsid w:val="00AC788A"/>
    <w:rsid w:val="00AD1FDB"/>
    <w:rsid w:val="00AD36D5"/>
    <w:rsid w:val="00AE0690"/>
    <w:rsid w:val="00AE77FB"/>
    <w:rsid w:val="00B124B4"/>
    <w:rsid w:val="00B24FFE"/>
    <w:rsid w:val="00B400D9"/>
    <w:rsid w:val="00B4054B"/>
    <w:rsid w:val="00B426D2"/>
    <w:rsid w:val="00B43391"/>
    <w:rsid w:val="00B474B5"/>
    <w:rsid w:val="00B537CF"/>
    <w:rsid w:val="00B63E04"/>
    <w:rsid w:val="00B728CD"/>
    <w:rsid w:val="00B74BE2"/>
    <w:rsid w:val="00B83AB7"/>
    <w:rsid w:val="00B84F12"/>
    <w:rsid w:val="00B90B44"/>
    <w:rsid w:val="00BB3F66"/>
    <w:rsid w:val="00BB6E42"/>
    <w:rsid w:val="00BE5289"/>
    <w:rsid w:val="00BE5CAC"/>
    <w:rsid w:val="00C31D7A"/>
    <w:rsid w:val="00C33495"/>
    <w:rsid w:val="00C4586B"/>
    <w:rsid w:val="00C61D9A"/>
    <w:rsid w:val="00C741C3"/>
    <w:rsid w:val="00CA3C91"/>
    <w:rsid w:val="00CA4326"/>
    <w:rsid w:val="00CA52EF"/>
    <w:rsid w:val="00CA6439"/>
    <w:rsid w:val="00CB4D41"/>
    <w:rsid w:val="00CF4091"/>
    <w:rsid w:val="00D0639D"/>
    <w:rsid w:val="00D066A6"/>
    <w:rsid w:val="00D4487D"/>
    <w:rsid w:val="00D5164D"/>
    <w:rsid w:val="00D55B8D"/>
    <w:rsid w:val="00D95478"/>
    <w:rsid w:val="00DA1D1C"/>
    <w:rsid w:val="00DA2A5F"/>
    <w:rsid w:val="00DA54EB"/>
    <w:rsid w:val="00DA79AD"/>
    <w:rsid w:val="00DC0FB1"/>
    <w:rsid w:val="00DC13C8"/>
    <w:rsid w:val="00DC1F50"/>
    <w:rsid w:val="00DC3DC1"/>
    <w:rsid w:val="00DD1503"/>
    <w:rsid w:val="00DD5CA9"/>
    <w:rsid w:val="00DE18CD"/>
    <w:rsid w:val="00DE48EA"/>
    <w:rsid w:val="00E02776"/>
    <w:rsid w:val="00E0302D"/>
    <w:rsid w:val="00E04D96"/>
    <w:rsid w:val="00E05B46"/>
    <w:rsid w:val="00E06177"/>
    <w:rsid w:val="00E11E2A"/>
    <w:rsid w:val="00E17887"/>
    <w:rsid w:val="00E31D1C"/>
    <w:rsid w:val="00E32B7F"/>
    <w:rsid w:val="00E331EB"/>
    <w:rsid w:val="00E46A5C"/>
    <w:rsid w:val="00E55B13"/>
    <w:rsid w:val="00E60831"/>
    <w:rsid w:val="00E61DF8"/>
    <w:rsid w:val="00E87FA4"/>
    <w:rsid w:val="00EA0FE5"/>
    <w:rsid w:val="00EA54B5"/>
    <w:rsid w:val="00EA73BF"/>
    <w:rsid w:val="00EC0643"/>
    <w:rsid w:val="00ED05DB"/>
    <w:rsid w:val="00ED4EF9"/>
    <w:rsid w:val="00ED4FE4"/>
    <w:rsid w:val="00ED6F3E"/>
    <w:rsid w:val="00EE26AA"/>
    <w:rsid w:val="00EE3A3B"/>
    <w:rsid w:val="00F179C2"/>
    <w:rsid w:val="00F24EDA"/>
    <w:rsid w:val="00F5331C"/>
    <w:rsid w:val="00F54CB8"/>
    <w:rsid w:val="00F61C56"/>
    <w:rsid w:val="00F63066"/>
    <w:rsid w:val="00F64222"/>
    <w:rsid w:val="00F6494A"/>
    <w:rsid w:val="00F74C02"/>
    <w:rsid w:val="00F87C12"/>
    <w:rsid w:val="00F87FCE"/>
    <w:rsid w:val="00F92AD7"/>
    <w:rsid w:val="00F95EE5"/>
    <w:rsid w:val="00FA0E0E"/>
    <w:rsid w:val="00FC49CA"/>
    <w:rsid w:val="00FC526F"/>
    <w:rsid w:val="00FD333D"/>
    <w:rsid w:val="00FD3FDB"/>
    <w:rsid w:val="00FE3096"/>
    <w:rsid w:val="00FF134D"/>
    <w:rsid w:val="0D3773B2"/>
    <w:rsid w:val="149D27B7"/>
    <w:rsid w:val="27E30182"/>
    <w:rsid w:val="391C67E9"/>
    <w:rsid w:val="738068E2"/>
    <w:rsid w:val="7C1A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31"/>
    <w:semiHidden/>
    <w:unhideWhenUsed/>
    <w:uiPriority w:val="99"/>
    <w:rPr>
      <w:b/>
      <w:bCs/>
    </w:rPr>
  </w:style>
  <w:style w:type="paragraph" w:styleId="5">
    <w:name w:val="annotation text"/>
    <w:basedOn w:val="1"/>
    <w:link w:val="30"/>
    <w:semiHidden/>
    <w:unhideWhenUsed/>
    <w:qFormat/>
    <w:uiPriority w:val="99"/>
    <w:pPr>
      <w:jc w:val="left"/>
    </w:pPr>
  </w:style>
  <w:style w:type="paragraph" w:styleId="6">
    <w:name w:val="endnote text"/>
    <w:basedOn w:val="1"/>
    <w:link w:val="23"/>
    <w:semiHidden/>
    <w:unhideWhenUsed/>
    <w:uiPriority w:val="99"/>
    <w:pPr>
      <w:snapToGrid w:val="0"/>
      <w:jc w:val="left"/>
    </w:pPr>
  </w:style>
  <w:style w:type="paragraph" w:styleId="7">
    <w:name w:val="Balloon Text"/>
    <w:basedOn w:val="1"/>
    <w:link w:val="29"/>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line="720" w:lineRule="auto"/>
    </w:pPr>
  </w:style>
  <w:style w:type="paragraph" w:styleId="11">
    <w:name w:val="footnote text"/>
    <w:basedOn w:val="1"/>
    <w:link w:val="22"/>
    <w:unhideWhenUsed/>
    <w:qFormat/>
    <w:uiPriority w:val="99"/>
    <w:pPr>
      <w:snapToGrid w:val="0"/>
      <w:jc w:val="left"/>
    </w:pPr>
    <w:rPr>
      <w:sz w:val="18"/>
      <w:szCs w:val="18"/>
    </w:rPr>
  </w:style>
  <w:style w:type="paragraph" w:styleId="12">
    <w:name w:val="toc 2"/>
    <w:basedOn w:val="1"/>
    <w:next w:val="1"/>
    <w:unhideWhenUsed/>
    <w:qFormat/>
    <w:uiPriority w:val="39"/>
    <w:pPr>
      <w:ind w:left="420" w:leftChars="200"/>
    </w:pPr>
  </w:style>
  <w:style w:type="character" w:styleId="14">
    <w:name w:val="Strong"/>
    <w:basedOn w:val="13"/>
    <w:qFormat/>
    <w:uiPriority w:val="22"/>
    <w:rPr>
      <w:b/>
      <w:bCs/>
    </w:rPr>
  </w:style>
  <w:style w:type="character" w:styleId="15">
    <w:name w:val="endnote reference"/>
    <w:basedOn w:val="13"/>
    <w:semiHidden/>
    <w:unhideWhenUsed/>
    <w:qFormat/>
    <w:uiPriority w:val="99"/>
    <w:rPr>
      <w:vertAlign w:val="superscript"/>
    </w:rPr>
  </w:style>
  <w:style w:type="character" w:styleId="16">
    <w:name w:val="Emphasis"/>
    <w:basedOn w:val="13"/>
    <w:qFormat/>
    <w:uiPriority w:val="20"/>
    <w:rPr>
      <w:i/>
      <w:iCs/>
    </w:rPr>
  </w:style>
  <w:style w:type="character" w:styleId="17">
    <w:name w:val="Hyperlink"/>
    <w:basedOn w:val="13"/>
    <w:unhideWhenUsed/>
    <w:uiPriority w:val="99"/>
    <w:rPr>
      <w:color w:val="0000FF" w:themeColor="hyperlink"/>
      <w:u w:val="single"/>
      <w14:textFill>
        <w14:solidFill>
          <w14:schemeClr w14:val="hlink"/>
        </w14:solidFill>
      </w14:textFill>
    </w:rPr>
  </w:style>
  <w:style w:type="character" w:styleId="18">
    <w:name w:val="annotation reference"/>
    <w:basedOn w:val="13"/>
    <w:semiHidden/>
    <w:unhideWhenUsed/>
    <w:uiPriority w:val="99"/>
    <w:rPr>
      <w:sz w:val="21"/>
      <w:szCs w:val="21"/>
    </w:rPr>
  </w:style>
  <w:style w:type="character" w:styleId="19">
    <w:name w:val="footnote reference"/>
    <w:basedOn w:val="13"/>
    <w:unhideWhenUsed/>
    <w:qFormat/>
    <w:uiPriority w:val="99"/>
    <w:rPr>
      <w:vertAlign w:val="superscript"/>
    </w:rPr>
  </w:style>
  <w:style w:type="paragraph" w:styleId="21">
    <w:name w:val="List Paragraph"/>
    <w:basedOn w:val="1"/>
    <w:qFormat/>
    <w:uiPriority w:val="34"/>
    <w:pPr>
      <w:ind w:firstLine="420" w:firstLineChars="200"/>
    </w:pPr>
  </w:style>
  <w:style w:type="character" w:customStyle="1" w:styleId="22">
    <w:name w:val="脚注文本 字符"/>
    <w:basedOn w:val="13"/>
    <w:link w:val="11"/>
    <w:qFormat/>
    <w:uiPriority w:val="99"/>
    <w:rPr>
      <w:sz w:val="18"/>
      <w:szCs w:val="18"/>
    </w:rPr>
  </w:style>
  <w:style w:type="character" w:customStyle="1" w:styleId="23">
    <w:name w:val="尾注文本 字符"/>
    <w:basedOn w:val="13"/>
    <w:link w:val="6"/>
    <w:semiHidden/>
    <w:uiPriority w:val="99"/>
    <w:rPr>
      <w:kern w:val="2"/>
      <w:sz w:val="21"/>
      <w:szCs w:val="22"/>
    </w:rPr>
  </w:style>
  <w:style w:type="character" w:customStyle="1" w:styleId="24">
    <w:name w:val="页眉 字符"/>
    <w:basedOn w:val="13"/>
    <w:link w:val="9"/>
    <w:qFormat/>
    <w:uiPriority w:val="99"/>
    <w:rPr>
      <w:kern w:val="2"/>
      <w:sz w:val="18"/>
      <w:szCs w:val="18"/>
    </w:rPr>
  </w:style>
  <w:style w:type="character" w:customStyle="1" w:styleId="25">
    <w:name w:val="页脚 字符"/>
    <w:basedOn w:val="13"/>
    <w:link w:val="8"/>
    <w:qFormat/>
    <w:uiPriority w:val="99"/>
    <w:rPr>
      <w:kern w:val="2"/>
      <w:sz w:val="18"/>
      <w:szCs w:val="18"/>
    </w:rPr>
  </w:style>
  <w:style w:type="character" w:customStyle="1" w:styleId="26">
    <w:name w:val="标题 1 字符"/>
    <w:basedOn w:val="13"/>
    <w:link w:val="2"/>
    <w:qFormat/>
    <w:uiPriority w:val="9"/>
    <w:rPr>
      <w:b/>
      <w:bCs/>
      <w:kern w:val="44"/>
      <w:sz w:val="44"/>
      <w:szCs w:val="44"/>
    </w:rPr>
  </w:style>
  <w:style w:type="character" w:customStyle="1" w:styleId="27">
    <w:name w:val="标题 2 字符"/>
    <w:basedOn w:val="13"/>
    <w:link w:val="3"/>
    <w:semiHidden/>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9">
    <w:name w:val="批注框文本 字符"/>
    <w:basedOn w:val="13"/>
    <w:link w:val="7"/>
    <w:semiHidden/>
    <w:uiPriority w:val="99"/>
    <w:rPr>
      <w:kern w:val="2"/>
      <w:sz w:val="18"/>
      <w:szCs w:val="18"/>
    </w:rPr>
  </w:style>
  <w:style w:type="character" w:customStyle="1" w:styleId="30">
    <w:name w:val="批注文字 字符"/>
    <w:basedOn w:val="13"/>
    <w:link w:val="5"/>
    <w:semiHidden/>
    <w:qFormat/>
    <w:uiPriority w:val="99"/>
    <w:rPr>
      <w:kern w:val="2"/>
      <w:sz w:val="21"/>
      <w:szCs w:val="22"/>
    </w:rPr>
  </w:style>
  <w:style w:type="character" w:customStyle="1" w:styleId="31">
    <w:name w:val="批注主题 字符"/>
    <w:basedOn w:val="30"/>
    <w:link w:val="4"/>
    <w:semiHidden/>
    <w:qFormat/>
    <w:uiPriority w:val="99"/>
    <w:rPr>
      <w:b/>
      <w:bCs/>
      <w:kern w:val="2"/>
      <w:sz w:val="21"/>
      <w:szCs w:val="2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BF67A8-0F46-4CB2-BD5A-41B9EB67466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1432</Words>
  <Characters>8163</Characters>
  <Lines>68</Lines>
  <Paragraphs>19</Paragraphs>
  <TotalTime>30</TotalTime>
  <ScaleCrop>false</ScaleCrop>
  <LinksUpToDate>false</LinksUpToDate>
  <CharactersWithSpaces>9576</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2018-09-19T01:05:00Z</dcterms:created>
  <dc:creator>chm</dc:creator>
  <lastModifiedBy>HC</lastModifiedBy>
  <lastPrinted>2018-09-19T01:05:00Z</lastPrinted>
  <dcterms:modified xsi:type="dcterms:W3CDTF">2019-01-15T02:20:29Z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