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0E" w:rsidRPr="009A74C0" w:rsidRDefault="001C260E" w:rsidP="00971076">
      <w:pPr>
        <w:jc w:val="center"/>
        <w:rPr>
          <w:rFonts w:ascii="黑体" w:eastAsia="黑体" w:hAnsi="黑体"/>
          <w:b/>
          <w:sz w:val="32"/>
          <w:szCs w:val="32"/>
        </w:rPr>
      </w:pPr>
      <w:r w:rsidRPr="009A74C0">
        <w:rPr>
          <w:rFonts w:ascii="黑体" w:eastAsia="黑体" w:hAnsi="黑体" w:hint="eastAsia"/>
          <w:b/>
          <w:sz w:val="32"/>
          <w:szCs w:val="32"/>
        </w:rPr>
        <w:t>基于文本分析的城市房屋强拆现象与治理路径</w:t>
      </w:r>
    </w:p>
    <w:p w:rsidR="001C260E" w:rsidRPr="009A74C0" w:rsidRDefault="001C260E" w:rsidP="00B6780C">
      <w:pPr>
        <w:jc w:val="center"/>
        <w:rPr>
          <w:rFonts w:asciiTheme="majorEastAsia" w:eastAsiaTheme="majorEastAsia" w:hAnsiTheme="majorEastAsia"/>
          <w:color w:val="000000"/>
          <w:szCs w:val="21"/>
          <w:vertAlign w:val="superscript"/>
        </w:rPr>
      </w:pPr>
      <w:r w:rsidRPr="009A74C0">
        <w:rPr>
          <w:rFonts w:asciiTheme="majorEastAsia" w:eastAsiaTheme="majorEastAsia" w:hAnsiTheme="majorEastAsia" w:hint="eastAsia"/>
          <w:color w:val="000000"/>
          <w:szCs w:val="21"/>
        </w:rPr>
        <w:t>史雅娟</w:t>
      </w:r>
      <w:r w:rsidRPr="009A74C0">
        <w:rPr>
          <w:rStyle w:val="ac"/>
          <w:rFonts w:asciiTheme="majorEastAsia" w:eastAsiaTheme="majorEastAsia" w:hAnsiTheme="majorEastAsia"/>
          <w:color w:val="000000"/>
          <w:szCs w:val="21"/>
          <w:u w:val="single"/>
        </w:rPr>
        <w:footnoteReference w:id="2"/>
      </w:r>
      <w:r w:rsidRPr="009A74C0">
        <w:rPr>
          <w:rFonts w:asciiTheme="majorEastAsia" w:eastAsiaTheme="majorEastAsia" w:hAnsiTheme="majorEastAsia"/>
          <w:color w:val="000000"/>
          <w:szCs w:val="21"/>
          <w:u w:val="single"/>
          <w:vertAlign w:val="superscript"/>
        </w:rPr>
        <w:t>,2</w:t>
      </w:r>
    </w:p>
    <w:p w:rsidR="001C260E" w:rsidRPr="009A74C0" w:rsidRDefault="001C260E" w:rsidP="00B6780C">
      <w:pPr>
        <w:autoSpaceDE w:val="0"/>
        <w:autoSpaceDN w:val="0"/>
        <w:adjustRightInd w:val="0"/>
        <w:jc w:val="center"/>
        <w:rPr>
          <w:rFonts w:asciiTheme="majorEastAsia" w:eastAsiaTheme="majorEastAsia" w:hAnsiTheme="majorEastAsia" w:cs="宋体"/>
          <w:kern w:val="0"/>
          <w:szCs w:val="21"/>
        </w:rPr>
      </w:pPr>
      <w:r w:rsidRPr="009A74C0">
        <w:rPr>
          <w:rFonts w:asciiTheme="majorEastAsia" w:eastAsiaTheme="majorEastAsia" w:hAnsiTheme="majorEastAsia" w:cs="宋体" w:hint="eastAsia"/>
          <w:kern w:val="0"/>
          <w:szCs w:val="21"/>
        </w:rPr>
        <w:t>（</w:t>
      </w:r>
      <w:r w:rsidRPr="009A74C0">
        <w:rPr>
          <w:rFonts w:asciiTheme="majorEastAsia" w:eastAsiaTheme="majorEastAsia" w:hAnsiTheme="majorEastAsia" w:cs="宋体"/>
          <w:kern w:val="0"/>
          <w:szCs w:val="21"/>
        </w:rPr>
        <w:t>1.</w:t>
      </w:r>
      <w:r w:rsidR="002D5323">
        <w:rPr>
          <w:rFonts w:asciiTheme="majorEastAsia" w:eastAsiaTheme="majorEastAsia" w:hAnsiTheme="majorEastAsia" w:cs="宋体" w:hint="eastAsia"/>
          <w:kern w:val="0"/>
          <w:szCs w:val="21"/>
        </w:rPr>
        <w:t xml:space="preserve">中国科学院区域可持续发展分析与模拟重点实验室 </w:t>
      </w:r>
      <w:r w:rsidRPr="009A74C0">
        <w:rPr>
          <w:rFonts w:asciiTheme="majorEastAsia" w:eastAsiaTheme="majorEastAsia" w:hAnsiTheme="majorEastAsia" w:cs="宋体" w:hint="eastAsia"/>
          <w:kern w:val="0"/>
          <w:szCs w:val="21"/>
        </w:rPr>
        <w:t>北京</w:t>
      </w:r>
      <w:r w:rsidR="002D5323">
        <w:rPr>
          <w:rFonts w:asciiTheme="majorEastAsia" w:eastAsiaTheme="majorEastAsia" w:hAnsiTheme="majorEastAsia" w:cs="宋体" w:hint="eastAsia"/>
          <w:kern w:val="0"/>
          <w:szCs w:val="21"/>
        </w:rPr>
        <w:t xml:space="preserve"> </w:t>
      </w:r>
      <w:r w:rsidRPr="009A74C0">
        <w:rPr>
          <w:rFonts w:asciiTheme="majorEastAsia" w:eastAsiaTheme="majorEastAsia" w:hAnsiTheme="majorEastAsia" w:cs="宋体"/>
          <w:kern w:val="0"/>
          <w:szCs w:val="21"/>
        </w:rPr>
        <w:t>100101</w:t>
      </w:r>
      <w:r w:rsidRPr="009A74C0">
        <w:rPr>
          <w:rFonts w:asciiTheme="majorEastAsia" w:eastAsiaTheme="majorEastAsia" w:hAnsiTheme="majorEastAsia" w:cs="宋体" w:hint="eastAsia"/>
          <w:kern w:val="0"/>
          <w:szCs w:val="21"/>
        </w:rPr>
        <w:t>；</w:t>
      </w:r>
    </w:p>
    <w:p w:rsidR="001C260E" w:rsidRPr="009A74C0" w:rsidRDefault="001C260E" w:rsidP="00B6780C">
      <w:pPr>
        <w:jc w:val="center"/>
        <w:rPr>
          <w:rFonts w:asciiTheme="majorEastAsia" w:eastAsiaTheme="majorEastAsia" w:hAnsiTheme="majorEastAsia"/>
          <w:b/>
          <w:szCs w:val="21"/>
        </w:rPr>
      </w:pPr>
      <w:r w:rsidRPr="009A74C0">
        <w:rPr>
          <w:rFonts w:asciiTheme="majorEastAsia" w:eastAsiaTheme="majorEastAsia" w:hAnsiTheme="majorEastAsia" w:cs="宋体"/>
          <w:kern w:val="0"/>
          <w:szCs w:val="21"/>
        </w:rPr>
        <w:t>2.</w:t>
      </w:r>
      <w:r w:rsidR="002D5323">
        <w:rPr>
          <w:rFonts w:asciiTheme="majorEastAsia" w:eastAsiaTheme="majorEastAsia" w:hAnsiTheme="majorEastAsia" w:cs="宋体" w:hint="eastAsia"/>
          <w:kern w:val="0"/>
          <w:szCs w:val="21"/>
        </w:rPr>
        <w:t xml:space="preserve">中国科学院地理科学与资源研究所 </w:t>
      </w:r>
      <w:r w:rsidRPr="009A74C0">
        <w:rPr>
          <w:rFonts w:asciiTheme="majorEastAsia" w:eastAsiaTheme="majorEastAsia" w:hAnsiTheme="majorEastAsia" w:cs="宋体" w:hint="eastAsia"/>
          <w:kern w:val="0"/>
          <w:szCs w:val="21"/>
        </w:rPr>
        <w:t>北京</w:t>
      </w:r>
      <w:r w:rsidRPr="009A74C0">
        <w:rPr>
          <w:rFonts w:asciiTheme="majorEastAsia" w:eastAsiaTheme="majorEastAsia" w:hAnsiTheme="majorEastAsia" w:cs="宋体"/>
          <w:kern w:val="0"/>
          <w:szCs w:val="21"/>
        </w:rPr>
        <w:t>100101</w:t>
      </w:r>
      <w:r w:rsidRPr="009A74C0">
        <w:rPr>
          <w:rFonts w:asciiTheme="majorEastAsia" w:eastAsiaTheme="majorEastAsia" w:hAnsiTheme="majorEastAsia" w:cs="宋体" w:hint="eastAsia"/>
          <w:kern w:val="0"/>
          <w:szCs w:val="21"/>
        </w:rPr>
        <w:t>）</w:t>
      </w:r>
    </w:p>
    <w:p w:rsidR="009A74C0" w:rsidRDefault="009A74C0" w:rsidP="007145FC">
      <w:pPr>
        <w:spacing w:line="360" w:lineRule="auto"/>
        <w:ind w:firstLineChars="200" w:firstLine="422"/>
        <w:rPr>
          <w:b/>
          <w:szCs w:val="21"/>
        </w:rPr>
      </w:pPr>
      <w:bookmarkStart w:id="0" w:name="_GoBack"/>
    </w:p>
    <w:p w:rsidR="001C260E" w:rsidRPr="009A74C0" w:rsidRDefault="001C260E" w:rsidP="007145FC">
      <w:pPr>
        <w:spacing w:line="360" w:lineRule="auto"/>
        <w:ind w:firstLineChars="200" w:firstLine="422"/>
        <w:rPr>
          <w:szCs w:val="21"/>
        </w:rPr>
      </w:pPr>
      <w:r w:rsidRPr="009A74C0">
        <w:rPr>
          <w:rFonts w:hint="eastAsia"/>
          <w:b/>
          <w:szCs w:val="21"/>
        </w:rPr>
        <w:t>摘要：</w:t>
      </w:r>
      <w:bookmarkEnd w:id="0"/>
      <w:r w:rsidRPr="009A74C0">
        <w:rPr>
          <w:rFonts w:hint="eastAsia"/>
          <w:szCs w:val="21"/>
        </w:rPr>
        <w:t>本文以文本分析法和</w:t>
      </w:r>
      <w:r w:rsidRPr="009A74C0">
        <w:rPr>
          <w:szCs w:val="21"/>
        </w:rPr>
        <w:t>GIS</w:t>
      </w:r>
      <w:r w:rsidRPr="009A74C0">
        <w:rPr>
          <w:rFonts w:hint="eastAsia"/>
          <w:szCs w:val="21"/>
        </w:rPr>
        <w:t>空间分析方法研究了知网数据库中</w:t>
      </w:r>
      <w:r w:rsidRPr="009A74C0">
        <w:rPr>
          <w:szCs w:val="21"/>
        </w:rPr>
        <w:t>2000-2016</w:t>
      </w:r>
      <w:r w:rsidRPr="009A74C0">
        <w:rPr>
          <w:rFonts w:hint="eastAsia"/>
          <w:szCs w:val="21"/>
        </w:rPr>
        <w:t>年间我国强拆文献的特征以及原因，并深入分析了</w:t>
      </w:r>
      <w:r w:rsidRPr="009A74C0">
        <w:rPr>
          <w:szCs w:val="21"/>
        </w:rPr>
        <w:t>2005-2014</w:t>
      </w:r>
      <w:r w:rsidRPr="009A74C0">
        <w:rPr>
          <w:rFonts w:hint="eastAsia"/>
          <w:szCs w:val="21"/>
        </w:rPr>
        <w:t>年大众媒体报道的全国强拆典型案例文本，最后提出了城市强拆的治理路径。</w:t>
      </w:r>
    </w:p>
    <w:p w:rsidR="001C260E" w:rsidRPr="009A74C0" w:rsidRDefault="001C260E" w:rsidP="007145FC">
      <w:pPr>
        <w:ind w:firstLineChars="200" w:firstLine="422"/>
        <w:rPr>
          <w:szCs w:val="21"/>
        </w:rPr>
      </w:pPr>
      <w:r w:rsidRPr="009A74C0">
        <w:rPr>
          <w:rFonts w:hint="eastAsia"/>
          <w:b/>
          <w:szCs w:val="21"/>
        </w:rPr>
        <w:t>关键词：</w:t>
      </w:r>
      <w:r w:rsidRPr="009A74C0">
        <w:rPr>
          <w:rFonts w:hint="eastAsia"/>
          <w:szCs w:val="21"/>
        </w:rPr>
        <w:t>城市治理</w:t>
      </w:r>
      <w:r w:rsidRPr="009A74C0">
        <w:rPr>
          <w:szCs w:val="21"/>
        </w:rPr>
        <w:t>;</w:t>
      </w:r>
      <w:r w:rsidRPr="009A74C0">
        <w:rPr>
          <w:rFonts w:hint="eastAsia"/>
          <w:szCs w:val="21"/>
        </w:rPr>
        <w:t>强拆现象</w:t>
      </w:r>
      <w:r w:rsidRPr="009A74C0">
        <w:rPr>
          <w:szCs w:val="21"/>
        </w:rPr>
        <w:t>;</w:t>
      </w:r>
      <w:r w:rsidRPr="009A74C0">
        <w:rPr>
          <w:rFonts w:hint="eastAsia"/>
          <w:szCs w:val="21"/>
        </w:rPr>
        <w:t>文本分析</w:t>
      </w:r>
      <w:r w:rsidRPr="009A74C0">
        <w:rPr>
          <w:szCs w:val="21"/>
        </w:rPr>
        <w:t>;</w:t>
      </w:r>
      <w:r w:rsidRPr="009A74C0">
        <w:rPr>
          <w:rFonts w:hint="eastAsia"/>
          <w:szCs w:val="21"/>
        </w:rPr>
        <w:t>空间分布</w:t>
      </w:r>
      <w:r w:rsidRPr="009A74C0">
        <w:rPr>
          <w:szCs w:val="21"/>
        </w:rPr>
        <w:t>;</w:t>
      </w:r>
      <w:r w:rsidRPr="009A74C0">
        <w:rPr>
          <w:rFonts w:hint="eastAsia"/>
          <w:szCs w:val="21"/>
        </w:rPr>
        <w:t>治理路径</w:t>
      </w:r>
    </w:p>
    <w:p w:rsidR="001C260E" w:rsidRPr="009A74C0" w:rsidRDefault="002D5323" w:rsidP="00EF5956">
      <w:pPr>
        <w:rPr>
          <w:szCs w:val="21"/>
        </w:rPr>
      </w:pPr>
      <w:r>
        <w:rPr>
          <w:rFonts w:hint="eastAsia"/>
          <w:szCs w:val="21"/>
        </w:rPr>
        <w:t xml:space="preserve">    </w:t>
      </w:r>
      <w:r>
        <w:rPr>
          <w:rFonts w:hint="eastAsia"/>
          <w:szCs w:val="21"/>
        </w:rPr>
        <w:t>中图分类号</w:t>
      </w:r>
      <w:r>
        <w:rPr>
          <w:rFonts w:hint="eastAsia"/>
          <w:szCs w:val="21"/>
        </w:rPr>
        <w:t xml:space="preserve">: </w:t>
      </w:r>
      <w:r>
        <w:rPr>
          <w:rFonts w:ascii="微软雅黑" w:eastAsia="微软雅黑" w:hAnsi="微软雅黑" w:hint="eastAsia"/>
          <w:color w:val="000000"/>
          <w:sz w:val="19"/>
          <w:szCs w:val="19"/>
          <w:shd w:val="clear" w:color="auto" w:fill="FFFFFF"/>
        </w:rPr>
        <w:t>TU984</w:t>
      </w:r>
      <w:r>
        <w:rPr>
          <w:rFonts w:hint="eastAsia"/>
          <w:szCs w:val="21"/>
        </w:rPr>
        <w:t xml:space="preserve">             </w:t>
      </w:r>
      <w:r>
        <w:rPr>
          <w:rFonts w:hint="eastAsia"/>
          <w:szCs w:val="21"/>
        </w:rPr>
        <w:t>文献标识码</w:t>
      </w:r>
      <w:r>
        <w:rPr>
          <w:rFonts w:hint="eastAsia"/>
          <w:szCs w:val="21"/>
        </w:rPr>
        <w:t xml:space="preserve">:        </w:t>
      </w:r>
      <w:r>
        <w:rPr>
          <w:rFonts w:hint="eastAsia"/>
          <w:szCs w:val="21"/>
        </w:rPr>
        <w:t>文章编号</w:t>
      </w:r>
      <w:r>
        <w:rPr>
          <w:rFonts w:hint="eastAsia"/>
          <w:szCs w:val="21"/>
        </w:rPr>
        <w:t>:</w:t>
      </w:r>
    </w:p>
    <w:p w:rsidR="001C260E" w:rsidRPr="009A74C0" w:rsidRDefault="001C260E" w:rsidP="009A74C0">
      <w:pPr>
        <w:spacing w:line="360" w:lineRule="auto"/>
        <w:ind w:firstLineChars="200" w:firstLine="420"/>
        <w:rPr>
          <w:szCs w:val="21"/>
        </w:rPr>
      </w:pPr>
      <w:bookmarkStart w:id="1" w:name="OLE_LINK1"/>
      <w:bookmarkStart w:id="2" w:name="OLE_LINK2"/>
      <w:bookmarkStart w:id="3" w:name="OLE_LINK3"/>
      <w:r w:rsidRPr="009A74C0">
        <w:rPr>
          <w:rFonts w:hint="eastAsia"/>
          <w:szCs w:val="21"/>
        </w:rPr>
        <w:t>随着我国城镇化的快速发展，城市建设步入跨越式发展阶段，各地城市争先恐后地开展大规模的更新改造工程，为此，城镇大兴土木、百废俱兴搞建设，拆旧建新、拆房修路，强行拆迁导致群众对政府的信任危机，引发诸多群体性突发事件，在社会上引起强烈的反响。为了能够客观分析我国城市治理强拆现象，本研究文本分析主要由研究型文献分析和新闻媒体报道分析构成。其中，研究文献选择我国文献大数据库知网为数据源库，研究时间为</w:t>
      </w:r>
      <w:r w:rsidRPr="009A74C0">
        <w:rPr>
          <w:szCs w:val="21"/>
        </w:rPr>
        <w:t>2000</w:t>
      </w:r>
      <w:r w:rsidRPr="009A74C0">
        <w:rPr>
          <w:rFonts w:hint="eastAsia"/>
          <w:szCs w:val="21"/>
        </w:rPr>
        <w:t>年至</w:t>
      </w:r>
      <w:r w:rsidRPr="009A74C0">
        <w:rPr>
          <w:szCs w:val="21"/>
        </w:rPr>
        <w:t>2016</w:t>
      </w:r>
      <w:r w:rsidRPr="009A74C0">
        <w:rPr>
          <w:rFonts w:hint="eastAsia"/>
          <w:szCs w:val="21"/>
        </w:rPr>
        <w:t>年期间的数据。强拆典型案例则选择百度、谷歌等重要搜索引擎中查找，范围包括所有新闻媒体、电子媒体等合法网络媒介的新闻媒体报道，研究时间为</w:t>
      </w:r>
      <w:r w:rsidRPr="009A74C0">
        <w:rPr>
          <w:szCs w:val="21"/>
        </w:rPr>
        <w:t>2005</w:t>
      </w:r>
      <w:r w:rsidRPr="009A74C0">
        <w:rPr>
          <w:rFonts w:hint="eastAsia"/>
          <w:szCs w:val="21"/>
        </w:rPr>
        <w:t>年至</w:t>
      </w:r>
      <w:r w:rsidRPr="009A74C0">
        <w:rPr>
          <w:szCs w:val="21"/>
        </w:rPr>
        <w:t>2014</w:t>
      </w:r>
      <w:r w:rsidRPr="009A74C0">
        <w:rPr>
          <w:rFonts w:hint="eastAsia"/>
          <w:szCs w:val="21"/>
        </w:rPr>
        <w:t>年期间的数据。</w:t>
      </w:r>
    </w:p>
    <w:p w:rsidR="001C260E" w:rsidRPr="009A74C0" w:rsidRDefault="001C260E" w:rsidP="00F840EB">
      <w:pPr>
        <w:pStyle w:val="4"/>
        <w:rPr>
          <w:sz w:val="21"/>
          <w:szCs w:val="21"/>
        </w:rPr>
      </w:pPr>
      <w:r w:rsidRPr="009A74C0">
        <w:rPr>
          <w:rFonts w:hint="eastAsia"/>
          <w:sz w:val="21"/>
          <w:szCs w:val="21"/>
        </w:rPr>
        <w:t>一、文献分析我国城市强拆现象的总体特征</w:t>
      </w:r>
    </w:p>
    <w:p w:rsidR="001C260E" w:rsidRPr="009A74C0" w:rsidRDefault="001C260E" w:rsidP="009A74C0">
      <w:pPr>
        <w:spacing w:line="360" w:lineRule="auto"/>
        <w:ind w:firstLineChars="200" w:firstLine="420"/>
        <w:rPr>
          <w:szCs w:val="21"/>
        </w:rPr>
      </w:pPr>
      <w:r w:rsidRPr="009A74C0">
        <w:rPr>
          <w:rFonts w:hint="eastAsia"/>
          <w:szCs w:val="21"/>
        </w:rPr>
        <w:t>知网中文搜索主题“强拆”，共搜索</w:t>
      </w:r>
      <w:r w:rsidRPr="009A74C0">
        <w:rPr>
          <w:szCs w:val="21"/>
        </w:rPr>
        <w:t>1684</w:t>
      </w:r>
      <w:r w:rsidRPr="009A74C0">
        <w:rPr>
          <w:rFonts w:hint="eastAsia"/>
          <w:szCs w:val="21"/>
        </w:rPr>
        <w:t>篇文献，其中，</w:t>
      </w:r>
      <w:r w:rsidRPr="009A74C0">
        <w:rPr>
          <w:szCs w:val="21"/>
        </w:rPr>
        <w:t>2000</w:t>
      </w:r>
      <w:r w:rsidRPr="009A74C0">
        <w:rPr>
          <w:rFonts w:hint="eastAsia"/>
          <w:szCs w:val="21"/>
        </w:rPr>
        <w:t>年为</w:t>
      </w:r>
      <w:r w:rsidRPr="009A74C0">
        <w:rPr>
          <w:szCs w:val="21"/>
        </w:rPr>
        <w:t>2</w:t>
      </w:r>
      <w:r w:rsidRPr="009A74C0">
        <w:rPr>
          <w:rFonts w:hint="eastAsia"/>
          <w:szCs w:val="21"/>
        </w:rPr>
        <w:t>篇，之后逐年增加，到</w:t>
      </w:r>
      <w:r w:rsidRPr="009A74C0">
        <w:rPr>
          <w:szCs w:val="21"/>
        </w:rPr>
        <w:t>2010</w:t>
      </w:r>
      <w:r w:rsidRPr="009A74C0">
        <w:rPr>
          <w:rFonts w:hint="eastAsia"/>
          <w:szCs w:val="21"/>
        </w:rPr>
        <w:t>年猛增到</w:t>
      </w:r>
      <w:r w:rsidRPr="009A74C0">
        <w:rPr>
          <w:szCs w:val="21"/>
        </w:rPr>
        <w:t>275</w:t>
      </w:r>
      <w:r w:rsidRPr="009A74C0">
        <w:rPr>
          <w:rFonts w:hint="eastAsia"/>
          <w:szCs w:val="21"/>
        </w:rPr>
        <w:t>篇，相比</w:t>
      </w:r>
      <w:r w:rsidRPr="009A74C0">
        <w:rPr>
          <w:szCs w:val="21"/>
        </w:rPr>
        <w:t>2009</w:t>
      </w:r>
      <w:r w:rsidRPr="009A74C0">
        <w:rPr>
          <w:rFonts w:hint="eastAsia"/>
          <w:szCs w:val="21"/>
        </w:rPr>
        <w:t>年的</w:t>
      </w:r>
      <w:r w:rsidRPr="009A74C0">
        <w:rPr>
          <w:szCs w:val="21"/>
        </w:rPr>
        <w:t>66</w:t>
      </w:r>
      <w:r w:rsidRPr="009A74C0">
        <w:rPr>
          <w:rFonts w:hint="eastAsia"/>
          <w:szCs w:val="21"/>
        </w:rPr>
        <w:t>篇呈现显著迅猛增长的态势，</w:t>
      </w:r>
      <w:r w:rsidRPr="009A74C0">
        <w:rPr>
          <w:szCs w:val="21"/>
        </w:rPr>
        <w:t>2011</w:t>
      </w:r>
      <w:r w:rsidRPr="009A74C0">
        <w:rPr>
          <w:rFonts w:hint="eastAsia"/>
          <w:szCs w:val="21"/>
        </w:rPr>
        <w:t>年达到顶峰</w:t>
      </w:r>
      <w:r w:rsidRPr="009A74C0">
        <w:rPr>
          <w:szCs w:val="21"/>
        </w:rPr>
        <w:t>339</w:t>
      </w:r>
      <w:r w:rsidRPr="009A74C0">
        <w:rPr>
          <w:rFonts w:hint="eastAsia"/>
          <w:szCs w:val="21"/>
        </w:rPr>
        <w:t>篇，随后开始大幅回落，</w:t>
      </w:r>
      <w:r w:rsidRPr="009A74C0">
        <w:rPr>
          <w:szCs w:val="21"/>
        </w:rPr>
        <w:t>2012</w:t>
      </w:r>
      <w:r w:rsidRPr="009A74C0">
        <w:rPr>
          <w:rFonts w:hint="eastAsia"/>
          <w:szCs w:val="21"/>
        </w:rPr>
        <w:t>年、</w:t>
      </w:r>
      <w:r w:rsidRPr="009A74C0">
        <w:rPr>
          <w:szCs w:val="21"/>
        </w:rPr>
        <w:t>2013</w:t>
      </w:r>
      <w:r w:rsidRPr="009A74C0">
        <w:rPr>
          <w:rFonts w:hint="eastAsia"/>
          <w:szCs w:val="21"/>
        </w:rPr>
        <w:t>年回落到</w:t>
      </w:r>
      <w:r w:rsidRPr="009A74C0">
        <w:rPr>
          <w:szCs w:val="21"/>
        </w:rPr>
        <w:t>200</w:t>
      </w:r>
      <w:r w:rsidRPr="009A74C0">
        <w:rPr>
          <w:rFonts w:hint="eastAsia"/>
          <w:szCs w:val="21"/>
        </w:rPr>
        <w:t>篇左右，</w:t>
      </w:r>
      <w:r w:rsidRPr="009A74C0">
        <w:rPr>
          <w:szCs w:val="21"/>
        </w:rPr>
        <w:t>2014</w:t>
      </w:r>
      <w:r w:rsidRPr="009A74C0">
        <w:rPr>
          <w:rFonts w:hint="eastAsia"/>
          <w:szCs w:val="21"/>
        </w:rPr>
        <w:t>年、</w:t>
      </w:r>
      <w:r w:rsidRPr="009A74C0">
        <w:rPr>
          <w:szCs w:val="21"/>
        </w:rPr>
        <w:t>2015</w:t>
      </w:r>
      <w:r w:rsidRPr="009A74C0">
        <w:rPr>
          <w:rFonts w:hint="eastAsia"/>
          <w:szCs w:val="21"/>
        </w:rPr>
        <w:t>为</w:t>
      </w:r>
      <w:r w:rsidRPr="009A74C0">
        <w:rPr>
          <w:szCs w:val="21"/>
        </w:rPr>
        <w:t>100</w:t>
      </w:r>
      <w:r w:rsidRPr="009A74C0">
        <w:rPr>
          <w:rFonts w:hint="eastAsia"/>
          <w:szCs w:val="21"/>
        </w:rPr>
        <w:t>多篇，</w:t>
      </w:r>
      <w:r w:rsidRPr="009A74C0">
        <w:rPr>
          <w:szCs w:val="21"/>
        </w:rPr>
        <w:t>2016</w:t>
      </w:r>
      <w:r w:rsidRPr="009A74C0">
        <w:rPr>
          <w:rFonts w:hint="eastAsia"/>
          <w:szCs w:val="21"/>
        </w:rPr>
        <w:t>年降到</w:t>
      </w:r>
      <w:r w:rsidRPr="009A74C0">
        <w:rPr>
          <w:szCs w:val="21"/>
        </w:rPr>
        <w:t>75</w:t>
      </w:r>
      <w:r w:rsidRPr="009A74C0">
        <w:rPr>
          <w:rFonts w:hint="eastAsia"/>
          <w:szCs w:val="21"/>
        </w:rPr>
        <w:t>篇。</w:t>
      </w:r>
      <w:r w:rsidRPr="009A74C0">
        <w:rPr>
          <w:szCs w:val="21"/>
        </w:rPr>
        <w:t>2000-2016</w:t>
      </w:r>
      <w:r w:rsidRPr="009A74C0">
        <w:rPr>
          <w:rFonts w:hint="eastAsia"/>
          <w:szCs w:val="21"/>
        </w:rPr>
        <w:t>年期间，强拆现象知网中文搜索数量动态完成了一个有较大起落的抛物线。</w:t>
      </w:r>
    </w:p>
    <w:p w:rsidR="001C260E" w:rsidRPr="009A74C0" w:rsidRDefault="001C260E" w:rsidP="00FB55E5">
      <w:pPr>
        <w:pStyle w:val="5"/>
        <w:rPr>
          <w:sz w:val="21"/>
          <w:szCs w:val="21"/>
        </w:rPr>
      </w:pPr>
      <w:bookmarkStart w:id="4" w:name="_Toc435219522"/>
      <w:r w:rsidRPr="009A74C0">
        <w:rPr>
          <w:rFonts w:hint="eastAsia"/>
          <w:sz w:val="21"/>
          <w:szCs w:val="21"/>
        </w:rPr>
        <w:lastRenderedPageBreak/>
        <w:t>（一）文献数量趋势变化与我国城镇化进程匹配</w:t>
      </w:r>
      <w:bookmarkEnd w:id="4"/>
    </w:p>
    <w:p w:rsidR="001C260E" w:rsidRPr="009A74C0" w:rsidRDefault="001C260E" w:rsidP="009A74C0">
      <w:pPr>
        <w:spacing w:line="360" w:lineRule="auto"/>
        <w:ind w:firstLineChars="200" w:firstLine="420"/>
        <w:rPr>
          <w:szCs w:val="21"/>
        </w:rPr>
      </w:pPr>
      <w:r w:rsidRPr="009A74C0">
        <w:rPr>
          <w:rFonts w:hint="eastAsia"/>
          <w:szCs w:val="21"/>
        </w:rPr>
        <w:t>改革开放以来，我国的城镇化率持续稳步增加。全国的城镇化率从</w:t>
      </w:r>
      <w:r w:rsidRPr="009A74C0">
        <w:rPr>
          <w:szCs w:val="21"/>
        </w:rPr>
        <w:t xml:space="preserve"> 2000</w:t>
      </w:r>
      <w:r w:rsidRPr="009A74C0">
        <w:rPr>
          <w:rFonts w:hint="eastAsia"/>
          <w:szCs w:val="21"/>
        </w:rPr>
        <w:t>年的</w:t>
      </w:r>
      <w:r w:rsidRPr="009A74C0">
        <w:rPr>
          <w:szCs w:val="21"/>
        </w:rPr>
        <w:t>36.2%</w:t>
      </w:r>
      <w:r w:rsidRPr="009A74C0">
        <w:rPr>
          <w:rFonts w:hint="eastAsia"/>
          <w:szCs w:val="21"/>
        </w:rPr>
        <w:t>增长到</w:t>
      </w:r>
      <w:r w:rsidRPr="009A74C0">
        <w:rPr>
          <w:szCs w:val="21"/>
        </w:rPr>
        <w:t>2015</w:t>
      </w:r>
      <w:r w:rsidRPr="009A74C0">
        <w:rPr>
          <w:rFonts w:hint="eastAsia"/>
          <w:szCs w:val="21"/>
        </w:rPr>
        <w:t>年的</w:t>
      </w:r>
      <w:r w:rsidRPr="009A74C0">
        <w:rPr>
          <w:szCs w:val="21"/>
        </w:rPr>
        <w:t>56.1%</w:t>
      </w:r>
      <w:r w:rsidRPr="009A74C0">
        <w:rPr>
          <w:rFonts w:hint="eastAsia"/>
          <w:szCs w:val="21"/>
        </w:rPr>
        <w:t>，城市基础设施建设和房地产开发势头迅猛。</w:t>
      </w:r>
    </w:p>
    <w:p w:rsidR="001C260E" w:rsidRPr="009A74C0" w:rsidRDefault="001C260E" w:rsidP="009A74C0">
      <w:pPr>
        <w:spacing w:line="360" w:lineRule="auto"/>
        <w:ind w:firstLineChars="200" w:firstLine="420"/>
        <w:rPr>
          <w:szCs w:val="21"/>
        </w:rPr>
      </w:pPr>
      <w:r w:rsidRPr="009A74C0">
        <w:rPr>
          <w:szCs w:val="21"/>
        </w:rPr>
        <w:t>2000</w:t>
      </w:r>
      <w:r w:rsidRPr="009A74C0">
        <w:rPr>
          <w:rFonts w:hint="eastAsia"/>
          <w:szCs w:val="21"/>
        </w:rPr>
        <w:t>年</w:t>
      </w:r>
      <w:r w:rsidRPr="009A74C0">
        <w:rPr>
          <w:szCs w:val="21"/>
        </w:rPr>
        <w:t>—2008</w:t>
      </w:r>
      <w:r w:rsidRPr="009A74C0">
        <w:rPr>
          <w:rFonts w:hint="eastAsia"/>
          <w:szCs w:val="21"/>
        </w:rPr>
        <w:t>年之间的知网学术关注度（即中文学术期刊发文量），一直处于较为平稳的小幅增长状态；</w:t>
      </w:r>
      <w:r w:rsidRPr="009A74C0">
        <w:rPr>
          <w:szCs w:val="21"/>
        </w:rPr>
        <w:t>2009</w:t>
      </w:r>
      <w:r w:rsidRPr="009A74C0">
        <w:rPr>
          <w:rFonts w:hint="eastAsia"/>
          <w:szCs w:val="21"/>
        </w:rPr>
        <w:t>年开始出现较为显著的增加，强拆中文发文量增加到</w:t>
      </w:r>
      <w:r w:rsidRPr="009A74C0">
        <w:rPr>
          <w:szCs w:val="21"/>
        </w:rPr>
        <w:t>24</w:t>
      </w:r>
      <w:r w:rsidRPr="009A74C0">
        <w:rPr>
          <w:rFonts w:hint="eastAsia"/>
          <w:szCs w:val="21"/>
        </w:rPr>
        <w:t>篇，环比增长率达到了</w:t>
      </w:r>
      <w:r w:rsidRPr="009A74C0">
        <w:rPr>
          <w:szCs w:val="21"/>
        </w:rPr>
        <w:t>118%</w:t>
      </w:r>
      <w:r w:rsidRPr="009A74C0">
        <w:rPr>
          <w:rFonts w:hint="eastAsia"/>
          <w:szCs w:val="21"/>
        </w:rPr>
        <w:t>；</w:t>
      </w:r>
      <w:r w:rsidRPr="009A74C0">
        <w:rPr>
          <w:szCs w:val="21"/>
        </w:rPr>
        <w:t>2010</w:t>
      </w:r>
      <w:r w:rsidRPr="009A74C0">
        <w:rPr>
          <w:rFonts w:hint="eastAsia"/>
          <w:szCs w:val="21"/>
        </w:rPr>
        <w:t>年强拆中文发文量一跃达到</w:t>
      </w:r>
      <w:r w:rsidRPr="009A74C0">
        <w:rPr>
          <w:szCs w:val="21"/>
        </w:rPr>
        <w:t>106</w:t>
      </w:r>
      <w:r w:rsidRPr="009A74C0">
        <w:rPr>
          <w:rFonts w:hint="eastAsia"/>
          <w:szCs w:val="21"/>
        </w:rPr>
        <w:t>篇，环比增长率高达</w:t>
      </w:r>
      <w:r w:rsidRPr="009A74C0">
        <w:rPr>
          <w:szCs w:val="21"/>
        </w:rPr>
        <w:t>342%</w:t>
      </w:r>
      <w:r w:rsidRPr="009A74C0">
        <w:rPr>
          <w:rFonts w:hint="eastAsia"/>
          <w:szCs w:val="21"/>
        </w:rPr>
        <w:t>；</w:t>
      </w:r>
      <w:r w:rsidRPr="009A74C0">
        <w:rPr>
          <w:szCs w:val="21"/>
        </w:rPr>
        <w:t>2011</w:t>
      </w:r>
      <w:r w:rsidRPr="009A74C0">
        <w:rPr>
          <w:rFonts w:hint="eastAsia"/>
          <w:szCs w:val="21"/>
        </w:rPr>
        <w:t>年达到最顶峰</w:t>
      </w:r>
      <w:r w:rsidRPr="009A74C0">
        <w:rPr>
          <w:szCs w:val="21"/>
        </w:rPr>
        <w:t>153</w:t>
      </w:r>
      <w:r w:rsidRPr="009A74C0">
        <w:rPr>
          <w:rFonts w:hint="eastAsia"/>
          <w:szCs w:val="21"/>
        </w:rPr>
        <w:t>篇的发文量，至此开始大幅下降，</w:t>
      </w:r>
      <w:r w:rsidRPr="009A74C0">
        <w:rPr>
          <w:szCs w:val="21"/>
        </w:rPr>
        <w:t>2012</w:t>
      </w:r>
      <w:r w:rsidRPr="009A74C0">
        <w:rPr>
          <w:rFonts w:hint="eastAsia"/>
          <w:szCs w:val="21"/>
        </w:rPr>
        <w:t>年中文发文量下降到</w:t>
      </w:r>
      <w:r w:rsidRPr="009A74C0">
        <w:rPr>
          <w:szCs w:val="21"/>
        </w:rPr>
        <w:t>98</w:t>
      </w:r>
      <w:r w:rsidRPr="009A74C0">
        <w:rPr>
          <w:rFonts w:hint="eastAsia"/>
          <w:szCs w:val="21"/>
        </w:rPr>
        <w:t>篇，环比增长率为</w:t>
      </w:r>
      <w:r w:rsidRPr="009A74C0">
        <w:rPr>
          <w:szCs w:val="21"/>
        </w:rPr>
        <w:t>-36%</w:t>
      </w:r>
      <w:r w:rsidRPr="009A74C0">
        <w:rPr>
          <w:rFonts w:hint="eastAsia"/>
          <w:szCs w:val="21"/>
        </w:rPr>
        <w:t>，</w:t>
      </w:r>
      <w:r w:rsidRPr="009A74C0">
        <w:rPr>
          <w:szCs w:val="21"/>
        </w:rPr>
        <w:t>2016</w:t>
      </w:r>
      <w:r w:rsidRPr="009A74C0">
        <w:rPr>
          <w:rFonts w:hint="eastAsia"/>
          <w:szCs w:val="21"/>
        </w:rPr>
        <w:t>年降到</w:t>
      </w:r>
      <w:r w:rsidRPr="009A74C0">
        <w:rPr>
          <w:szCs w:val="21"/>
        </w:rPr>
        <w:t>37</w:t>
      </w:r>
      <w:r w:rsidRPr="009A74C0">
        <w:rPr>
          <w:rFonts w:hint="eastAsia"/>
          <w:szCs w:val="21"/>
        </w:rPr>
        <w:t>篇，环比下降了</w:t>
      </w:r>
      <w:r w:rsidRPr="009A74C0">
        <w:rPr>
          <w:szCs w:val="21"/>
        </w:rPr>
        <w:t>-37%</w:t>
      </w:r>
      <w:r w:rsidRPr="009A74C0">
        <w:rPr>
          <w:rFonts w:hint="eastAsia"/>
          <w:szCs w:val="21"/>
        </w:rPr>
        <w:t>。同样，</w:t>
      </w:r>
      <w:r w:rsidRPr="009A74C0">
        <w:rPr>
          <w:szCs w:val="21"/>
        </w:rPr>
        <w:t>2000</w:t>
      </w:r>
      <w:r w:rsidRPr="009A74C0">
        <w:rPr>
          <w:rFonts w:hint="eastAsia"/>
          <w:szCs w:val="21"/>
        </w:rPr>
        <w:t>年</w:t>
      </w:r>
      <w:r w:rsidRPr="009A74C0">
        <w:rPr>
          <w:szCs w:val="21"/>
        </w:rPr>
        <w:t>—2008</w:t>
      </w:r>
      <w:r w:rsidRPr="009A74C0">
        <w:rPr>
          <w:rFonts w:hint="eastAsia"/>
          <w:szCs w:val="21"/>
        </w:rPr>
        <w:t>年之间的知网媒体关注度（即媒体报道发文量），呈现出与之相似的特点。</w:t>
      </w:r>
    </w:p>
    <w:p w:rsidR="001C260E" w:rsidRPr="009A74C0" w:rsidRDefault="001C260E" w:rsidP="009A74C0">
      <w:pPr>
        <w:spacing w:line="360" w:lineRule="auto"/>
        <w:ind w:firstLineChars="200" w:firstLine="420"/>
        <w:rPr>
          <w:szCs w:val="21"/>
        </w:rPr>
      </w:pPr>
      <w:r w:rsidRPr="009A74C0">
        <w:rPr>
          <w:rFonts w:hint="eastAsia"/>
          <w:szCs w:val="21"/>
        </w:rPr>
        <w:t>刊登发表的文献数量与我国城镇化发展进程相匹配，随着</w:t>
      </w:r>
      <w:r w:rsidRPr="009A74C0">
        <w:rPr>
          <w:szCs w:val="21"/>
        </w:rPr>
        <w:t>2011</w:t>
      </w:r>
      <w:r w:rsidRPr="009A74C0">
        <w:rPr>
          <w:rFonts w:hint="eastAsia"/>
          <w:szCs w:val="21"/>
        </w:rPr>
        <w:t>年新版《国有土地上房屋征收与补偿条例（</w:t>
      </w:r>
      <w:r w:rsidRPr="009A74C0">
        <w:rPr>
          <w:szCs w:val="21"/>
        </w:rPr>
        <w:t>2011</w:t>
      </w:r>
      <w:r w:rsidRPr="009A74C0">
        <w:rPr>
          <w:rFonts w:hint="eastAsia"/>
          <w:szCs w:val="21"/>
        </w:rPr>
        <w:t>年）》出台，强拆文献数量开始快速下跌。分析背后的原因，一是国家政府完善相关法律的影响。</w:t>
      </w:r>
      <w:r w:rsidRPr="009A74C0">
        <w:rPr>
          <w:szCs w:val="21"/>
        </w:rPr>
        <w:t>2010</w:t>
      </w:r>
      <w:r w:rsidRPr="009A74C0">
        <w:rPr>
          <w:rFonts w:hint="eastAsia"/>
          <w:szCs w:val="21"/>
        </w:rPr>
        <w:t>年</w:t>
      </w:r>
      <w:r w:rsidRPr="009A74C0">
        <w:rPr>
          <w:szCs w:val="21"/>
        </w:rPr>
        <w:t>1</w:t>
      </w:r>
      <w:r w:rsidRPr="009A74C0">
        <w:rPr>
          <w:rFonts w:hint="eastAsia"/>
          <w:szCs w:val="21"/>
        </w:rPr>
        <w:t>月</w:t>
      </w:r>
      <w:r w:rsidRPr="009A74C0">
        <w:rPr>
          <w:szCs w:val="21"/>
        </w:rPr>
        <w:t>29</w:t>
      </w:r>
      <w:r w:rsidRPr="009A74C0">
        <w:rPr>
          <w:rFonts w:hint="eastAsia"/>
          <w:szCs w:val="21"/>
        </w:rPr>
        <w:t>日国务院法制办官网公布出《国有土地上房屋征收与补偿条例（征求意见稿）》全文，经过广泛征求意见，并于</w:t>
      </w:r>
      <w:r w:rsidRPr="009A74C0">
        <w:rPr>
          <w:szCs w:val="21"/>
        </w:rPr>
        <w:t>2011</w:t>
      </w:r>
      <w:r w:rsidRPr="009A74C0">
        <w:rPr>
          <w:rFonts w:hint="eastAsia"/>
          <w:szCs w:val="21"/>
        </w:rPr>
        <w:t>年</w:t>
      </w:r>
      <w:r w:rsidRPr="009A74C0">
        <w:rPr>
          <w:szCs w:val="21"/>
        </w:rPr>
        <w:t>1</w:t>
      </w:r>
      <w:r w:rsidRPr="009A74C0">
        <w:rPr>
          <w:rFonts w:hint="eastAsia"/>
          <w:szCs w:val="21"/>
        </w:rPr>
        <w:t>月</w:t>
      </w:r>
      <w:r w:rsidRPr="009A74C0">
        <w:rPr>
          <w:szCs w:val="21"/>
        </w:rPr>
        <w:t>19</w:t>
      </w:r>
      <w:r w:rsidRPr="009A74C0">
        <w:rPr>
          <w:rFonts w:hint="eastAsia"/>
          <w:szCs w:val="21"/>
        </w:rPr>
        <w:t>日，由国务院第</w:t>
      </w:r>
      <w:r w:rsidRPr="009A74C0">
        <w:rPr>
          <w:szCs w:val="21"/>
        </w:rPr>
        <w:t>141</w:t>
      </w:r>
      <w:r w:rsidRPr="009A74C0">
        <w:rPr>
          <w:rFonts w:hint="eastAsia"/>
          <w:szCs w:val="21"/>
        </w:rPr>
        <w:t>次常务会议通过了《国有土地上房屋征收与补偿条例》，在此征求意见的期间成为了拆迁事件的高发阶段，条例出台后则有效遏制了强拆事件的发生。二是</w:t>
      </w:r>
      <w:r w:rsidRPr="009A74C0">
        <w:rPr>
          <w:szCs w:val="21"/>
        </w:rPr>
        <w:t>2011</w:t>
      </w:r>
      <w:r w:rsidRPr="009A74C0">
        <w:rPr>
          <w:rFonts w:hint="eastAsia"/>
          <w:szCs w:val="21"/>
        </w:rPr>
        <w:t>年之前强拆事件在全国多地发生，</w:t>
      </w:r>
      <w:r w:rsidRPr="009A74C0">
        <w:rPr>
          <w:szCs w:val="21"/>
        </w:rPr>
        <w:t>2009</w:t>
      </w:r>
      <w:r w:rsidRPr="009A74C0">
        <w:rPr>
          <w:rFonts w:hint="eastAsia"/>
          <w:szCs w:val="21"/>
        </w:rPr>
        <w:t>年</w:t>
      </w:r>
      <w:r w:rsidRPr="009A74C0">
        <w:rPr>
          <w:szCs w:val="21"/>
        </w:rPr>
        <w:t>11</w:t>
      </w:r>
      <w:r w:rsidRPr="009A74C0">
        <w:rPr>
          <w:rFonts w:hint="eastAsia"/>
          <w:szCs w:val="21"/>
        </w:rPr>
        <w:t>月</w:t>
      </w:r>
      <w:r w:rsidRPr="009A74C0">
        <w:rPr>
          <w:szCs w:val="21"/>
        </w:rPr>
        <w:t>13</w:t>
      </w:r>
      <w:r w:rsidRPr="009A74C0">
        <w:rPr>
          <w:rFonts w:hint="eastAsia"/>
          <w:szCs w:val="21"/>
        </w:rPr>
        <w:t>日的唐福珍自焚身亡事件发生后，北大五名法学学者联名向全国人大常委会提议审查《拆迁条例》，引发社会公众媒体的跟踪报道。该暴力强拆事件持续发酵，自媒体网络也频繁加入到传播强拆引发的群体性事件当中，引起社会各界人士和舆论的普遍关注；三是被拆迁者的维权行为增加。</w:t>
      </w:r>
      <w:r w:rsidRPr="009A74C0">
        <w:rPr>
          <w:szCs w:val="21"/>
        </w:rPr>
        <w:t>2011</w:t>
      </w:r>
      <w:r w:rsidRPr="009A74C0">
        <w:rPr>
          <w:rFonts w:hint="eastAsia"/>
          <w:szCs w:val="21"/>
        </w:rPr>
        <w:t>年颁布的《国有土地上房屋征收与补偿条例》为被拆迁者合法利益提供了法律保障，涉及到城市房屋拆迁的所有者开始拿起国家法律维权。中顾维权网、</w:t>
      </w:r>
      <w:r w:rsidRPr="009A74C0">
        <w:rPr>
          <w:szCs w:val="21"/>
        </w:rPr>
        <w:t>110</w:t>
      </w:r>
      <w:r w:rsidRPr="009A74C0">
        <w:rPr>
          <w:rFonts w:hint="eastAsia"/>
          <w:szCs w:val="21"/>
        </w:rPr>
        <w:t>法律咨询等一些法律机构的网站上也纷纷开辟维权专栏。</w:t>
      </w:r>
    </w:p>
    <w:p w:rsidR="001C260E" w:rsidRPr="009A74C0" w:rsidRDefault="001C260E" w:rsidP="00FB55E5">
      <w:pPr>
        <w:pStyle w:val="5"/>
        <w:rPr>
          <w:sz w:val="21"/>
          <w:szCs w:val="21"/>
        </w:rPr>
      </w:pPr>
      <w:bookmarkStart w:id="5" w:name="_Toc435219523"/>
      <w:r w:rsidRPr="009A74C0">
        <w:rPr>
          <w:rFonts w:hint="eastAsia"/>
          <w:sz w:val="21"/>
          <w:szCs w:val="21"/>
        </w:rPr>
        <w:t>（二）知网检索学科分布</w:t>
      </w:r>
      <w:bookmarkEnd w:id="5"/>
      <w:r w:rsidRPr="009A74C0">
        <w:rPr>
          <w:rFonts w:hint="eastAsia"/>
          <w:sz w:val="21"/>
          <w:szCs w:val="21"/>
        </w:rPr>
        <w:t>偏重于司法与经济管理</w:t>
      </w:r>
    </w:p>
    <w:p w:rsidR="001C260E" w:rsidRPr="009A74C0" w:rsidRDefault="001C260E" w:rsidP="009A74C0">
      <w:pPr>
        <w:spacing w:line="360" w:lineRule="auto"/>
        <w:ind w:firstLineChars="200" w:firstLine="420"/>
        <w:rPr>
          <w:szCs w:val="21"/>
        </w:rPr>
      </w:pPr>
      <w:r w:rsidRPr="009A74C0">
        <w:rPr>
          <w:szCs w:val="21"/>
        </w:rPr>
        <w:t>2000</w:t>
      </w:r>
      <w:r w:rsidRPr="009A74C0">
        <w:rPr>
          <w:rFonts w:hint="eastAsia"/>
          <w:szCs w:val="21"/>
        </w:rPr>
        <w:t>年至</w:t>
      </w:r>
      <w:r w:rsidRPr="009A74C0">
        <w:rPr>
          <w:szCs w:val="21"/>
        </w:rPr>
        <w:t>2016</w:t>
      </w:r>
      <w:r w:rsidRPr="009A74C0">
        <w:rPr>
          <w:rFonts w:hint="eastAsia"/>
          <w:szCs w:val="21"/>
        </w:rPr>
        <w:t>年知网检索强拆期刊文献分析显示，行政法与地方法制类杂志刊发的文献数量最多，发文量达到</w:t>
      </w:r>
      <w:r w:rsidRPr="009A74C0">
        <w:rPr>
          <w:szCs w:val="21"/>
        </w:rPr>
        <w:t>143</w:t>
      </w:r>
      <w:r w:rsidRPr="009A74C0">
        <w:rPr>
          <w:rFonts w:hint="eastAsia"/>
          <w:szCs w:val="21"/>
        </w:rPr>
        <w:t>篇；其次是宏观经济管理与可持续发展，发文量为</w:t>
      </w:r>
      <w:r w:rsidRPr="009A74C0">
        <w:rPr>
          <w:szCs w:val="21"/>
        </w:rPr>
        <w:t>115</w:t>
      </w:r>
      <w:r w:rsidRPr="009A74C0">
        <w:rPr>
          <w:rFonts w:hint="eastAsia"/>
          <w:szCs w:val="21"/>
        </w:rPr>
        <w:t>篇；再次是农业经济学科，发文量为</w:t>
      </w:r>
      <w:r w:rsidRPr="009A74C0">
        <w:rPr>
          <w:szCs w:val="21"/>
        </w:rPr>
        <w:t>90</w:t>
      </w:r>
      <w:r w:rsidRPr="009A74C0">
        <w:rPr>
          <w:rFonts w:hint="eastAsia"/>
          <w:szCs w:val="21"/>
        </w:rPr>
        <w:t>篇，接着是中国政治与国际政治，发文数量为</w:t>
      </w:r>
      <w:r w:rsidRPr="009A74C0">
        <w:rPr>
          <w:szCs w:val="21"/>
        </w:rPr>
        <w:t>61</w:t>
      </w:r>
      <w:r w:rsidRPr="009A74C0">
        <w:rPr>
          <w:rFonts w:hint="eastAsia"/>
          <w:szCs w:val="21"/>
        </w:rPr>
        <w:t>篇；法理、法史类发文</w:t>
      </w:r>
      <w:r w:rsidRPr="009A74C0">
        <w:rPr>
          <w:szCs w:val="21"/>
        </w:rPr>
        <w:t>54</w:t>
      </w:r>
      <w:r w:rsidRPr="009A74C0">
        <w:rPr>
          <w:rFonts w:hint="eastAsia"/>
          <w:szCs w:val="21"/>
        </w:rPr>
        <w:t>篇，行政学及国家行政管理类、诉讼法与司法制度类、新闻传播类等发文</w:t>
      </w:r>
      <w:r w:rsidRPr="009A74C0">
        <w:rPr>
          <w:szCs w:val="21"/>
        </w:rPr>
        <w:t>30</w:t>
      </w:r>
      <w:r w:rsidRPr="009A74C0">
        <w:rPr>
          <w:rFonts w:hint="eastAsia"/>
          <w:szCs w:val="21"/>
        </w:rPr>
        <w:t>余篇，投资和电信技术发文</w:t>
      </w:r>
      <w:r w:rsidRPr="009A74C0">
        <w:rPr>
          <w:szCs w:val="21"/>
        </w:rPr>
        <w:t>20</w:t>
      </w:r>
      <w:r w:rsidRPr="009A74C0">
        <w:rPr>
          <w:rFonts w:hint="eastAsia"/>
          <w:szCs w:val="21"/>
        </w:rPr>
        <w:t>多篇。总体上，呈现出来行政学、法学类和经济学大类占据</w:t>
      </w:r>
      <w:r w:rsidRPr="009A74C0">
        <w:rPr>
          <w:rFonts w:hint="eastAsia"/>
          <w:szCs w:val="21"/>
        </w:rPr>
        <w:lastRenderedPageBreak/>
        <w:t>最多，政府行政决策和法律法规的关注度最高，新闻传播的文献研究体现了新闻人对强拆事件报道的理性思考。</w:t>
      </w:r>
    </w:p>
    <w:p w:rsidR="001C260E" w:rsidRPr="009A74C0" w:rsidRDefault="001C260E" w:rsidP="009A74C0">
      <w:pPr>
        <w:spacing w:line="360" w:lineRule="auto"/>
        <w:ind w:firstLineChars="200" w:firstLine="420"/>
        <w:rPr>
          <w:szCs w:val="21"/>
        </w:rPr>
      </w:pPr>
      <w:r w:rsidRPr="009A74C0">
        <w:rPr>
          <w:rFonts w:hint="eastAsia"/>
          <w:szCs w:val="21"/>
        </w:rPr>
        <w:t>强拆现象是国内外城镇化快速发展历程中普遍出现的问题，关乎国家发展的大政方针，地方整体经济社会发展，还涉及到个人物权、房产开发、利益博弈等，文献研究主要集中在一是对于强拆事件认定缺乏统一的共识，强制拆迁现象的话语表达不够清晰，引起强拆语义解释和诉求的偏差；二是对强拆现象是否构成违法问题有争议，强拆法律程序和事实本身引发争议。三是，在强拆事件报道方面，自媒体与新闻媒体报道存在差异，导致强拆成为社会公平公正舆论的聚焦。</w:t>
      </w:r>
    </w:p>
    <w:p w:rsidR="001C260E" w:rsidRPr="009A74C0" w:rsidRDefault="001C260E" w:rsidP="00FB55E5">
      <w:pPr>
        <w:pStyle w:val="5"/>
        <w:rPr>
          <w:sz w:val="21"/>
          <w:szCs w:val="21"/>
        </w:rPr>
      </w:pPr>
      <w:bookmarkStart w:id="6" w:name="_Toc435219524"/>
      <w:r w:rsidRPr="009A74C0">
        <w:rPr>
          <w:rFonts w:hint="eastAsia"/>
          <w:sz w:val="21"/>
          <w:szCs w:val="21"/>
        </w:rPr>
        <w:t>（三）文献相关词呈现政府与学者的</w:t>
      </w:r>
      <w:bookmarkEnd w:id="6"/>
      <w:r w:rsidRPr="009A74C0">
        <w:rPr>
          <w:rFonts w:hint="eastAsia"/>
          <w:sz w:val="21"/>
          <w:szCs w:val="21"/>
        </w:rPr>
        <w:t>关注度高</w:t>
      </w:r>
    </w:p>
    <w:p w:rsidR="001C260E" w:rsidRPr="009A74C0" w:rsidRDefault="001C260E" w:rsidP="009A74C0">
      <w:pPr>
        <w:spacing w:line="360" w:lineRule="auto"/>
        <w:ind w:firstLineChars="200" w:firstLine="420"/>
        <w:rPr>
          <w:szCs w:val="21"/>
        </w:rPr>
      </w:pPr>
      <w:r w:rsidRPr="009A74C0">
        <w:rPr>
          <w:rFonts w:hint="eastAsia"/>
          <w:szCs w:val="21"/>
        </w:rPr>
        <w:t>检索文献中强拆的相关词，即“强拆”文献中与该词同时出现最多的关键词，按照降序分别是司法强拆、公共利益、行政强拆、拆迁和强制拆迁。其中，强拆文献中关于司法强拆的文章最多，其次是关于公共利益的研究相对较多，行政强拆和拆迁相似，强制拆迁排在后面。研究文献的焦点主要集中在不同的强拆内容和公众利益权属问题上，我国最高官方媒体人民日报社和高校学者成为主要研究主体，在司法强拆和行政强拆中更关注司法强拆，重视强拆事件中的法律程序，以及公众利益。</w:t>
      </w:r>
    </w:p>
    <w:p w:rsidR="001C260E" w:rsidRPr="009A74C0" w:rsidRDefault="001C260E" w:rsidP="009A74C0">
      <w:pPr>
        <w:spacing w:line="360" w:lineRule="auto"/>
        <w:ind w:firstLineChars="200" w:firstLine="420"/>
        <w:rPr>
          <w:szCs w:val="21"/>
        </w:rPr>
      </w:pPr>
      <w:r w:rsidRPr="009A74C0">
        <w:rPr>
          <w:rFonts w:hint="eastAsia"/>
          <w:szCs w:val="21"/>
        </w:rPr>
        <w:t>从检索词在机构中的分布显示，人民日报社的排名最高，其次是高校。我国强拆事件受到我国官方主流媒体</w:t>
      </w:r>
      <w:r w:rsidRPr="009A74C0">
        <w:rPr>
          <w:szCs w:val="21"/>
        </w:rPr>
        <w:t>——</w:t>
      </w:r>
      <w:r w:rsidRPr="009A74C0">
        <w:rPr>
          <w:rFonts w:hint="eastAsia"/>
          <w:szCs w:val="21"/>
        </w:rPr>
        <w:t>人民日报社的关注最多，其次是北京和地方的高校。人民日报的报道自然引发地方官网的跟进报道，以及其他大众媒体的关注，推动强拆事件快速成为社会舆论的焦点，进而引发各级政府、业界、学界对拆迁现象的关注和思考，推动拆迁事件法律法规的完善和政府体制机制的创新改革。</w:t>
      </w:r>
    </w:p>
    <w:p w:rsidR="001C260E" w:rsidRPr="009A74C0" w:rsidRDefault="001C260E" w:rsidP="009A74C0">
      <w:pPr>
        <w:spacing w:line="360" w:lineRule="auto"/>
        <w:ind w:firstLineChars="200" w:firstLine="420"/>
        <w:rPr>
          <w:szCs w:val="21"/>
        </w:rPr>
      </w:pPr>
      <w:r w:rsidRPr="009A74C0">
        <w:rPr>
          <w:rFonts w:hint="eastAsia"/>
          <w:szCs w:val="21"/>
        </w:rPr>
        <w:t>分析原因，</w:t>
      </w:r>
      <w:r w:rsidRPr="009A74C0">
        <w:rPr>
          <w:szCs w:val="21"/>
        </w:rPr>
        <w:t>2010</w:t>
      </w:r>
      <w:r w:rsidRPr="009A74C0">
        <w:rPr>
          <w:rFonts w:hint="eastAsia"/>
          <w:szCs w:val="21"/>
        </w:rPr>
        <w:t>年</w:t>
      </w:r>
      <w:r w:rsidRPr="009A74C0">
        <w:rPr>
          <w:szCs w:val="21"/>
        </w:rPr>
        <w:t>1</w:t>
      </w:r>
      <w:r w:rsidRPr="009A74C0">
        <w:rPr>
          <w:rFonts w:hint="eastAsia"/>
          <w:szCs w:val="21"/>
        </w:rPr>
        <w:t>月</w:t>
      </w:r>
      <w:r w:rsidRPr="009A74C0">
        <w:rPr>
          <w:szCs w:val="21"/>
        </w:rPr>
        <w:t>29</w:t>
      </w:r>
      <w:r w:rsidRPr="009A74C0">
        <w:rPr>
          <w:rFonts w:hint="eastAsia"/>
          <w:szCs w:val="21"/>
        </w:rPr>
        <w:t>日，《国有土地上房屋征收与补偿条例</w:t>
      </w:r>
      <w:r w:rsidRPr="009A74C0">
        <w:rPr>
          <w:szCs w:val="21"/>
        </w:rPr>
        <w:t>(</w:t>
      </w:r>
      <w:r w:rsidRPr="009A74C0">
        <w:rPr>
          <w:rFonts w:hint="eastAsia"/>
          <w:szCs w:val="21"/>
        </w:rPr>
        <w:t>草案</w:t>
      </w:r>
      <w:r w:rsidRPr="009A74C0">
        <w:rPr>
          <w:szCs w:val="21"/>
        </w:rPr>
        <w:t>)</w:t>
      </w:r>
      <w:r w:rsidRPr="009A74C0">
        <w:rPr>
          <w:rFonts w:hint="eastAsia"/>
          <w:szCs w:val="21"/>
        </w:rPr>
        <w:t>》向社会公开征求意见，经过两次反复征求意见，历时近</w:t>
      </w:r>
      <w:r w:rsidRPr="009A74C0">
        <w:rPr>
          <w:szCs w:val="21"/>
        </w:rPr>
        <w:t>1</w:t>
      </w:r>
      <w:r w:rsidRPr="009A74C0">
        <w:rPr>
          <w:rFonts w:hint="eastAsia"/>
          <w:szCs w:val="21"/>
        </w:rPr>
        <w:t>年之久，于</w:t>
      </w:r>
      <w:r w:rsidRPr="009A74C0">
        <w:rPr>
          <w:szCs w:val="21"/>
        </w:rPr>
        <w:t>2011</w:t>
      </w:r>
      <w:r w:rsidRPr="009A74C0">
        <w:rPr>
          <w:rFonts w:hint="eastAsia"/>
          <w:szCs w:val="21"/>
        </w:rPr>
        <w:t>年</w:t>
      </w:r>
      <w:r w:rsidRPr="009A74C0">
        <w:rPr>
          <w:szCs w:val="21"/>
        </w:rPr>
        <w:t>1</w:t>
      </w:r>
      <w:r w:rsidRPr="009A74C0">
        <w:rPr>
          <w:rFonts w:hint="eastAsia"/>
          <w:szCs w:val="21"/>
        </w:rPr>
        <w:t>月</w:t>
      </w:r>
      <w:r w:rsidRPr="009A74C0">
        <w:rPr>
          <w:szCs w:val="21"/>
        </w:rPr>
        <w:t>19</w:t>
      </w:r>
      <w:r w:rsidRPr="009A74C0">
        <w:rPr>
          <w:rFonts w:hint="eastAsia"/>
          <w:szCs w:val="21"/>
        </w:rPr>
        <w:t>日，出台了新版的《国有土地上房屋征收与补偿条例（</w:t>
      </w:r>
      <w:r w:rsidRPr="009A74C0">
        <w:rPr>
          <w:szCs w:val="21"/>
        </w:rPr>
        <w:t>2011</w:t>
      </w:r>
      <w:r w:rsidRPr="009A74C0">
        <w:rPr>
          <w:rFonts w:hint="eastAsia"/>
          <w:szCs w:val="21"/>
        </w:rPr>
        <w:t>年）》，将之前实行的“行政强拆”与“司法拆迁”双轨制，取消“行政强拆”，实行“司法强拆”单轨制，强制拆迁与否全部由法院作出裁决，行政部门不再具有强拆决定权。期间，国务院办公厅下发“国十一条”等一系列条例控制房价，地方政府为规避风险在新法律法规出台前，加快城市建设中的强拆行为，一些粗暴的行为方式引发的社会影响较大，国家政府和研究学者的关注推动我国拆迁法律法规的完善。</w:t>
      </w:r>
    </w:p>
    <w:p w:rsidR="001C260E" w:rsidRPr="009A74C0" w:rsidRDefault="001C260E" w:rsidP="00F33919">
      <w:pPr>
        <w:pStyle w:val="4"/>
        <w:rPr>
          <w:sz w:val="21"/>
          <w:szCs w:val="21"/>
        </w:rPr>
      </w:pPr>
      <w:bookmarkStart w:id="7" w:name="_Toc435219525"/>
      <w:r w:rsidRPr="009A74C0">
        <w:rPr>
          <w:rFonts w:hint="eastAsia"/>
          <w:sz w:val="21"/>
          <w:szCs w:val="21"/>
        </w:rPr>
        <w:lastRenderedPageBreak/>
        <w:t>二、强拆典型案例报道的</w:t>
      </w:r>
      <w:bookmarkEnd w:id="7"/>
      <w:r w:rsidRPr="009A74C0">
        <w:rPr>
          <w:rFonts w:hint="eastAsia"/>
          <w:sz w:val="21"/>
          <w:szCs w:val="21"/>
        </w:rPr>
        <w:t>特征分析</w:t>
      </w:r>
    </w:p>
    <w:p w:rsidR="001C260E" w:rsidRPr="009A74C0" w:rsidRDefault="001C260E" w:rsidP="009A74C0">
      <w:pPr>
        <w:spacing w:line="360" w:lineRule="auto"/>
        <w:ind w:firstLineChars="200" w:firstLine="420"/>
        <w:rPr>
          <w:szCs w:val="21"/>
        </w:rPr>
      </w:pPr>
      <w:r w:rsidRPr="009A74C0">
        <w:rPr>
          <w:rFonts w:hint="eastAsia"/>
          <w:szCs w:val="21"/>
        </w:rPr>
        <w:t>基于文本分析的结果显示，我国城镇化进程中强拆现象的传播与报道主要来自于大众媒体，强拆文献数量猛增的拐点为</w:t>
      </w:r>
      <w:r w:rsidRPr="009A74C0">
        <w:rPr>
          <w:szCs w:val="21"/>
        </w:rPr>
        <w:t>2004</w:t>
      </w:r>
      <w:r w:rsidRPr="009A74C0">
        <w:rPr>
          <w:rFonts w:hint="eastAsia"/>
          <w:szCs w:val="21"/>
        </w:rPr>
        <w:t>年。因此，本研究共收集了自</w:t>
      </w:r>
      <w:r w:rsidRPr="009A74C0">
        <w:rPr>
          <w:szCs w:val="21"/>
        </w:rPr>
        <w:t>2005</w:t>
      </w:r>
      <w:r w:rsidRPr="009A74C0">
        <w:rPr>
          <w:rFonts w:hint="eastAsia"/>
          <w:szCs w:val="21"/>
        </w:rPr>
        <w:t>年</w:t>
      </w:r>
      <w:r w:rsidRPr="009A74C0">
        <w:rPr>
          <w:szCs w:val="21"/>
        </w:rPr>
        <w:t>-2014</w:t>
      </w:r>
      <w:r w:rsidRPr="009A74C0">
        <w:rPr>
          <w:rFonts w:hint="eastAsia"/>
          <w:szCs w:val="21"/>
        </w:rPr>
        <w:t>年共</w:t>
      </w:r>
      <w:r w:rsidRPr="009A74C0">
        <w:rPr>
          <w:szCs w:val="21"/>
        </w:rPr>
        <w:t>10</w:t>
      </w:r>
      <w:r w:rsidRPr="009A74C0">
        <w:rPr>
          <w:rFonts w:hint="eastAsia"/>
          <w:szCs w:val="21"/>
        </w:rPr>
        <w:t>年的典型强拆事件文本，在大众媒体上产生重大影响的</w:t>
      </w:r>
      <w:r w:rsidRPr="009A74C0">
        <w:rPr>
          <w:szCs w:val="21"/>
        </w:rPr>
        <w:t>82</w:t>
      </w:r>
      <w:r w:rsidRPr="009A74C0">
        <w:rPr>
          <w:rFonts w:hint="eastAsia"/>
          <w:szCs w:val="21"/>
        </w:rPr>
        <w:t>件典型强拆事件，进一步研究我国强拆事件的区域空间分布状态。</w:t>
      </w:r>
    </w:p>
    <w:p w:rsidR="001C260E" w:rsidRPr="009A74C0" w:rsidRDefault="001C260E" w:rsidP="002A6B14">
      <w:pPr>
        <w:pStyle w:val="5"/>
        <w:rPr>
          <w:sz w:val="21"/>
          <w:szCs w:val="21"/>
        </w:rPr>
      </w:pPr>
      <w:bookmarkStart w:id="8" w:name="_Toc435219526"/>
      <w:r w:rsidRPr="009A74C0">
        <w:rPr>
          <w:rFonts w:hint="eastAsia"/>
          <w:sz w:val="21"/>
          <w:szCs w:val="21"/>
        </w:rPr>
        <w:t>（一）强拆事件呈现</w:t>
      </w:r>
      <w:bookmarkEnd w:id="8"/>
      <w:r w:rsidRPr="009A74C0">
        <w:rPr>
          <w:rFonts w:hint="eastAsia"/>
          <w:sz w:val="21"/>
          <w:szCs w:val="21"/>
        </w:rPr>
        <w:t>中东西空间区域差异化分布</w:t>
      </w:r>
    </w:p>
    <w:p w:rsidR="001C260E" w:rsidRPr="009A74C0" w:rsidRDefault="001C260E" w:rsidP="009A74C0">
      <w:pPr>
        <w:spacing w:line="360" w:lineRule="auto"/>
        <w:ind w:firstLineChars="200" w:firstLine="420"/>
        <w:rPr>
          <w:szCs w:val="21"/>
        </w:rPr>
      </w:pPr>
      <w:r w:rsidRPr="009A74C0">
        <w:rPr>
          <w:rFonts w:hint="eastAsia"/>
          <w:szCs w:val="21"/>
        </w:rPr>
        <w:t>根据分析显示，我国典型强拆事件大部分发生在中西部地区，东北三省也占有一定比例，东部沿海发达城市占较少，北京和广州等一线城市也出现了少量典型事件。研究显示，强拆典型事件以中部六省最多，我国西部除了新疆、西藏和宁夏等</w:t>
      </w:r>
      <w:r w:rsidRPr="009A74C0">
        <w:rPr>
          <w:szCs w:val="21"/>
        </w:rPr>
        <w:t>3</w:t>
      </w:r>
      <w:r w:rsidRPr="009A74C0">
        <w:rPr>
          <w:rFonts w:hint="eastAsia"/>
          <w:szCs w:val="21"/>
        </w:rPr>
        <w:t>个地区外，其他地区都存在少量事件；东部沿海地区普遍存在拆迁典型案例，数量与区域城镇化程度成正比。总体呈现出，全国强拆典型案例的空间布局，与该地区城镇化发展阶段基本一致，处于城镇化快速发展中的省份数量最多，城镇化发展较为缓慢的西部数量相对偏少。</w:t>
      </w:r>
    </w:p>
    <w:p w:rsidR="001C260E" w:rsidRPr="009A74C0" w:rsidRDefault="001C260E" w:rsidP="009A74C0">
      <w:pPr>
        <w:spacing w:line="360" w:lineRule="auto"/>
        <w:ind w:firstLineChars="200" w:firstLine="420"/>
        <w:rPr>
          <w:szCs w:val="21"/>
        </w:rPr>
      </w:pPr>
      <w:r w:rsidRPr="009A74C0">
        <w:rPr>
          <w:rFonts w:hint="eastAsia"/>
          <w:szCs w:val="21"/>
        </w:rPr>
        <w:t>案例文本资料分析显示，北京、广州的强拆事件多发生在</w:t>
      </w:r>
      <w:r w:rsidRPr="009A74C0">
        <w:rPr>
          <w:szCs w:val="21"/>
        </w:rPr>
        <w:t>2007</w:t>
      </w:r>
      <w:r w:rsidRPr="009A74C0">
        <w:rPr>
          <w:rFonts w:hint="eastAsia"/>
          <w:szCs w:val="21"/>
        </w:rPr>
        <w:t>年之前，东部沿海发达城市的典型强拆事件大多发生在</w:t>
      </w:r>
      <w:r w:rsidRPr="009A74C0">
        <w:rPr>
          <w:szCs w:val="21"/>
        </w:rPr>
        <w:t>2008</w:t>
      </w:r>
      <w:r w:rsidRPr="009A74C0">
        <w:rPr>
          <w:rFonts w:hint="eastAsia"/>
          <w:szCs w:val="21"/>
        </w:rPr>
        <w:t>年之前，中西部地区和东北地区的强拆事件则是紧随其后，集中出现在</w:t>
      </w:r>
      <w:r w:rsidRPr="009A74C0">
        <w:rPr>
          <w:szCs w:val="21"/>
        </w:rPr>
        <w:t>2009</w:t>
      </w:r>
      <w:r w:rsidRPr="009A74C0">
        <w:rPr>
          <w:rFonts w:hint="eastAsia"/>
          <w:szCs w:val="21"/>
        </w:rPr>
        <w:t>年至今的时期，呈现出区域城镇化发展阶段的差异性，中部地区强拆事件多且影响大。从一定程度上反映出，经济发达地区强拆现象空间分布递减，强拆事件从沿海发达城市到内陆发展中城市的空间分布格局，与该地区城镇化快速发展的阶段和程度成正相关，也与国家新型城镇化的发展政策变化有关。</w:t>
      </w:r>
    </w:p>
    <w:bookmarkEnd w:id="1"/>
    <w:bookmarkEnd w:id="2"/>
    <w:bookmarkEnd w:id="3"/>
    <w:p w:rsidR="001C260E" w:rsidRPr="009A74C0" w:rsidRDefault="001C260E" w:rsidP="009A7A2C">
      <w:pPr>
        <w:pStyle w:val="5"/>
        <w:rPr>
          <w:sz w:val="21"/>
          <w:szCs w:val="21"/>
        </w:rPr>
      </w:pPr>
      <w:r w:rsidRPr="009A74C0">
        <w:rPr>
          <w:rFonts w:hint="eastAsia"/>
          <w:sz w:val="21"/>
          <w:szCs w:val="21"/>
        </w:rPr>
        <w:t>（二）强拆事件时间分布受到新拆迁法规制度影响</w:t>
      </w:r>
    </w:p>
    <w:p w:rsidR="001C260E" w:rsidRPr="009A74C0" w:rsidRDefault="001C260E" w:rsidP="009A74C0">
      <w:pPr>
        <w:spacing w:line="360" w:lineRule="auto"/>
        <w:ind w:firstLineChars="200" w:firstLine="420"/>
        <w:rPr>
          <w:szCs w:val="21"/>
        </w:rPr>
      </w:pPr>
      <w:r w:rsidRPr="009A74C0">
        <w:rPr>
          <w:rFonts w:hint="eastAsia"/>
          <w:szCs w:val="21"/>
        </w:rPr>
        <w:t>强拆典型案例在</w:t>
      </w:r>
      <w:r w:rsidRPr="009A74C0">
        <w:rPr>
          <w:szCs w:val="21"/>
        </w:rPr>
        <w:t>2010-2011</w:t>
      </w:r>
      <w:r w:rsidRPr="009A74C0">
        <w:rPr>
          <w:rFonts w:hint="eastAsia"/>
          <w:szCs w:val="21"/>
        </w:rPr>
        <w:t>年之间密集爆发，</w:t>
      </w:r>
      <w:r w:rsidRPr="009A74C0">
        <w:rPr>
          <w:szCs w:val="21"/>
        </w:rPr>
        <w:t>2012</w:t>
      </w:r>
      <w:r w:rsidRPr="009A74C0">
        <w:rPr>
          <w:rFonts w:hint="eastAsia"/>
          <w:szCs w:val="21"/>
        </w:rPr>
        <w:t>年开始大幅回落。分析原因，</w:t>
      </w:r>
      <w:r w:rsidRPr="009A74C0">
        <w:rPr>
          <w:szCs w:val="21"/>
        </w:rPr>
        <w:t>2011</w:t>
      </w:r>
      <w:r w:rsidRPr="009A74C0">
        <w:rPr>
          <w:rFonts w:hint="eastAsia"/>
          <w:szCs w:val="21"/>
        </w:rPr>
        <w:t>年</w:t>
      </w:r>
      <w:r w:rsidRPr="009A74C0">
        <w:rPr>
          <w:szCs w:val="21"/>
        </w:rPr>
        <w:t>1</w:t>
      </w:r>
      <w:r w:rsidRPr="009A74C0">
        <w:rPr>
          <w:rFonts w:hint="eastAsia"/>
          <w:szCs w:val="21"/>
        </w:rPr>
        <w:t>月《国有土地上房屋征收与补偿条例</w:t>
      </w:r>
      <w:r w:rsidRPr="009A74C0">
        <w:rPr>
          <w:szCs w:val="21"/>
        </w:rPr>
        <w:t>(</w:t>
      </w:r>
      <w:r w:rsidRPr="009A74C0">
        <w:rPr>
          <w:rFonts w:hint="eastAsia"/>
          <w:szCs w:val="21"/>
        </w:rPr>
        <w:t>草案</w:t>
      </w:r>
      <w:r w:rsidRPr="009A74C0">
        <w:rPr>
          <w:szCs w:val="21"/>
        </w:rPr>
        <w:t>)</w:t>
      </w:r>
      <w:r w:rsidRPr="009A74C0">
        <w:rPr>
          <w:rFonts w:hint="eastAsia"/>
          <w:szCs w:val="21"/>
        </w:rPr>
        <w:t>》向社会公开征求意见。我国楼市调控政策频出，国务院办公厅陆续下发了“国四条”、“国十一条”、“国十条”，以及相关部委出台“五条措施”，大力调控房地产，社会关注焦点在土地问责与拆迁问题上，房产税试点已列入国家发展中重要题，央行加息与提高准备金率等等。鉴于此，急于投入建设的房地产商和地方政府，处于对新拆迁法规和相关制度的规避，在新政策制定出台前加大了拆迁力度，强拆行为和方式引发不良影响和社会广泛关注。《国有土地上房屋征收与补偿条例》于</w:t>
      </w:r>
      <w:r w:rsidRPr="009A74C0">
        <w:rPr>
          <w:szCs w:val="21"/>
        </w:rPr>
        <w:t>2011</w:t>
      </w:r>
      <w:r w:rsidRPr="009A74C0">
        <w:rPr>
          <w:rFonts w:hint="eastAsia"/>
          <w:szCs w:val="21"/>
        </w:rPr>
        <w:t>年</w:t>
      </w:r>
      <w:r w:rsidRPr="009A74C0">
        <w:rPr>
          <w:szCs w:val="21"/>
        </w:rPr>
        <w:t>1</w:t>
      </w:r>
      <w:r w:rsidRPr="009A74C0">
        <w:rPr>
          <w:rFonts w:hint="eastAsia"/>
          <w:szCs w:val="21"/>
        </w:rPr>
        <w:lastRenderedPageBreak/>
        <w:t>月</w:t>
      </w:r>
      <w:r w:rsidRPr="009A74C0">
        <w:rPr>
          <w:szCs w:val="21"/>
        </w:rPr>
        <w:t>21</w:t>
      </w:r>
      <w:r w:rsidRPr="009A74C0">
        <w:rPr>
          <w:rFonts w:hint="eastAsia"/>
          <w:szCs w:val="21"/>
        </w:rPr>
        <w:t>日起正式实施。</w:t>
      </w:r>
      <w:r w:rsidRPr="009A74C0">
        <w:rPr>
          <w:szCs w:val="21"/>
        </w:rPr>
        <w:t>2011</w:t>
      </w:r>
      <w:r w:rsidRPr="009A74C0">
        <w:rPr>
          <w:rFonts w:hint="eastAsia"/>
          <w:szCs w:val="21"/>
        </w:rPr>
        <w:t>年</w:t>
      </w:r>
      <w:r w:rsidRPr="009A74C0">
        <w:rPr>
          <w:szCs w:val="21"/>
        </w:rPr>
        <w:t>5</w:t>
      </w:r>
      <w:r w:rsidRPr="009A74C0">
        <w:rPr>
          <w:rFonts w:hint="eastAsia"/>
          <w:szCs w:val="21"/>
        </w:rPr>
        <w:t>月</w:t>
      </w:r>
      <w:r w:rsidRPr="009A74C0">
        <w:rPr>
          <w:szCs w:val="21"/>
        </w:rPr>
        <w:t>15</w:t>
      </w:r>
      <w:r w:rsidRPr="009A74C0">
        <w:rPr>
          <w:rFonts w:hint="eastAsia"/>
          <w:szCs w:val="21"/>
        </w:rPr>
        <w:t>日，最高人民法院下了发了《关于坚决防止土地征收房屋拆迁强制执法引发恶性时间的紧急通知》。总之，这些新的法规和国家政策影响了强拆事件的发展过程，有效遏制了强拆事件的发生。</w:t>
      </w:r>
    </w:p>
    <w:p w:rsidR="001C260E" w:rsidRPr="009A74C0" w:rsidRDefault="001C260E" w:rsidP="00AB0941">
      <w:pPr>
        <w:pStyle w:val="5"/>
        <w:rPr>
          <w:sz w:val="21"/>
          <w:szCs w:val="21"/>
        </w:rPr>
      </w:pPr>
      <w:bookmarkStart w:id="9" w:name="_Toc435219527"/>
      <w:r w:rsidRPr="009A74C0">
        <w:rPr>
          <w:rFonts w:hint="eastAsia"/>
          <w:sz w:val="21"/>
          <w:szCs w:val="21"/>
        </w:rPr>
        <w:t>（三）中部地区成为强拆事件发生的高发地</w:t>
      </w:r>
      <w:bookmarkEnd w:id="9"/>
    </w:p>
    <w:p w:rsidR="001C260E" w:rsidRPr="009A74C0" w:rsidRDefault="001C260E" w:rsidP="009A74C0">
      <w:pPr>
        <w:spacing w:line="360" w:lineRule="auto"/>
        <w:ind w:firstLineChars="200" w:firstLine="420"/>
        <w:rPr>
          <w:szCs w:val="21"/>
        </w:rPr>
      </w:pPr>
      <w:r w:rsidRPr="009A74C0">
        <w:rPr>
          <w:rFonts w:hint="eastAsia"/>
          <w:szCs w:val="21"/>
        </w:rPr>
        <w:t>研究显示，强拆事件的高发区在中部的河南省、湖北省和湖南省等</w:t>
      </w:r>
      <w:r w:rsidRPr="009A74C0">
        <w:rPr>
          <w:szCs w:val="21"/>
        </w:rPr>
        <w:t>3</w:t>
      </w:r>
      <w:r w:rsidRPr="009A74C0">
        <w:rPr>
          <w:rFonts w:hint="eastAsia"/>
          <w:szCs w:val="21"/>
        </w:rPr>
        <w:t>个省，其中，河南省的典型强拆事件最多。河南省在我国强拆事件发生数量最大的省份，本课题定位分析了</w:t>
      </w:r>
      <w:r w:rsidRPr="009A74C0">
        <w:rPr>
          <w:szCs w:val="21"/>
        </w:rPr>
        <w:t>2005</w:t>
      </w:r>
      <w:r w:rsidRPr="009A74C0">
        <w:rPr>
          <w:rFonts w:hint="eastAsia"/>
          <w:szCs w:val="21"/>
        </w:rPr>
        <w:t>年</w:t>
      </w:r>
      <w:r w:rsidRPr="009A74C0">
        <w:rPr>
          <w:szCs w:val="21"/>
        </w:rPr>
        <w:t>-2014</w:t>
      </w:r>
      <w:r w:rsidRPr="009A74C0">
        <w:rPr>
          <w:rFonts w:hint="eastAsia"/>
          <w:szCs w:val="21"/>
        </w:rPr>
        <w:t>年河南省内强拆典型事件的城市，结果显示，</w:t>
      </w:r>
      <w:r w:rsidRPr="009A74C0">
        <w:rPr>
          <w:szCs w:val="21"/>
        </w:rPr>
        <w:t>2005</w:t>
      </w:r>
      <w:r w:rsidRPr="009A74C0">
        <w:rPr>
          <w:rFonts w:hint="eastAsia"/>
          <w:szCs w:val="21"/>
        </w:rPr>
        <w:t>年</w:t>
      </w:r>
      <w:r w:rsidRPr="009A74C0">
        <w:rPr>
          <w:szCs w:val="21"/>
        </w:rPr>
        <w:t>-2014</w:t>
      </w:r>
      <w:r w:rsidRPr="009A74C0">
        <w:rPr>
          <w:rFonts w:hint="eastAsia"/>
          <w:szCs w:val="21"/>
        </w:rPr>
        <w:t>年期间，郑州市是河南省强拆事件的高发市，占据了第一名。排名第二的周口市强拆事件数量仅为郑州市的四分之一。</w:t>
      </w:r>
    </w:p>
    <w:p w:rsidR="001C260E" w:rsidRPr="009A74C0" w:rsidRDefault="001C260E" w:rsidP="009A74C0">
      <w:pPr>
        <w:spacing w:line="360" w:lineRule="auto"/>
        <w:ind w:firstLineChars="200" w:firstLine="420"/>
        <w:rPr>
          <w:szCs w:val="21"/>
        </w:rPr>
      </w:pPr>
      <w:r w:rsidRPr="009A74C0">
        <w:rPr>
          <w:szCs w:val="21"/>
        </w:rPr>
        <w:t>2013</w:t>
      </w:r>
      <w:r w:rsidRPr="009A74C0">
        <w:rPr>
          <w:rFonts w:hint="eastAsia"/>
          <w:szCs w:val="21"/>
        </w:rPr>
        <w:t>年</w:t>
      </w:r>
      <w:r w:rsidRPr="009A74C0">
        <w:rPr>
          <w:szCs w:val="21"/>
        </w:rPr>
        <w:t>4</w:t>
      </w:r>
      <w:r w:rsidRPr="009A74C0">
        <w:rPr>
          <w:rFonts w:hint="eastAsia"/>
          <w:szCs w:val="21"/>
        </w:rPr>
        <w:t>月，郑州市经济开发区开展地方拆迁工作时，与郑州市民马连福家人签下拆迁说明书，承诺“拆迁的相关问题负责到底”、“保证让你满意”。据马连福介绍，签了承诺书后，郑州市相关部门对待迁补偿问题上依然一拖再拖，数月没有解决。</w:t>
      </w:r>
      <w:smartTag w:uri="urn:schemas-microsoft-com:office:smarttags" w:element="chsdate">
        <w:smartTagPr>
          <w:attr w:name="IsROCDate" w:val="False"/>
          <w:attr w:name="IsLunarDate" w:val="False"/>
          <w:attr w:name="Day" w:val="10"/>
          <w:attr w:name="Month" w:val="9"/>
          <w:attr w:name="Year" w:val="2013"/>
        </w:smartTagPr>
        <w:r w:rsidRPr="009A74C0">
          <w:rPr>
            <w:szCs w:val="21"/>
          </w:rPr>
          <w:t>2013</w:t>
        </w:r>
        <w:r w:rsidRPr="009A74C0">
          <w:rPr>
            <w:rFonts w:hint="eastAsia"/>
            <w:szCs w:val="21"/>
          </w:rPr>
          <w:t>年</w:t>
        </w:r>
        <w:r w:rsidRPr="009A74C0">
          <w:rPr>
            <w:szCs w:val="21"/>
          </w:rPr>
          <w:t>9</w:t>
        </w:r>
        <w:r w:rsidRPr="009A74C0">
          <w:rPr>
            <w:rFonts w:hint="eastAsia"/>
            <w:szCs w:val="21"/>
          </w:rPr>
          <w:t>月</w:t>
        </w:r>
        <w:r w:rsidRPr="009A74C0">
          <w:rPr>
            <w:szCs w:val="21"/>
          </w:rPr>
          <w:t>10</w:t>
        </w:r>
        <w:r w:rsidRPr="009A74C0">
          <w:rPr>
            <w:rFonts w:hint="eastAsia"/>
            <w:szCs w:val="21"/>
          </w:rPr>
          <w:t>日</w:t>
        </w:r>
      </w:smartTag>
      <w:r w:rsidRPr="009A74C0">
        <w:rPr>
          <w:rFonts w:hint="eastAsia"/>
          <w:szCs w:val="21"/>
        </w:rPr>
        <w:t>凌晨，马连福拥有产权的商品院遭到一群不明人士强行闯入，将马连福的弟弟、弟媳抬出住处后，一旁守候的挖掘机随即将该处院落的建筑物拆除。该事件引起了中共中央、全国人大主要领导同志的高度重视，并对该事件做出批示。后经《法制晚报》报道，地方政府和警方立案侦查。</w:t>
      </w:r>
    </w:p>
    <w:p w:rsidR="001C260E" w:rsidRPr="009A74C0" w:rsidRDefault="001C260E" w:rsidP="00A36368">
      <w:pPr>
        <w:pStyle w:val="4"/>
        <w:rPr>
          <w:sz w:val="21"/>
          <w:szCs w:val="21"/>
        </w:rPr>
      </w:pPr>
      <w:r w:rsidRPr="009A74C0">
        <w:rPr>
          <w:rFonts w:hint="eastAsia"/>
          <w:sz w:val="21"/>
          <w:szCs w:val="21"/>
        </w:rPr>
        <w:t>三、城市治理中强拆事件的解决路径</w:t>
      </w:r>
    </w:p>
    <w:p w:rsidR="001C260E" w:rsidRPr="009A74C0" w:rsidRDefault="001C260E" w:rsidP="009A74C0">
      <w:pPr>
        <w:spacing w:line="360" w:lineRule="auto"/>
        <w:ind w:firstLineChars="200" w:firstLine="420"/>
        <w:rPr>
          <w:szCs w:val="21"/>
        </w:rPr>
      </w:pPr>
      <w:r w:rsidRPr="009A74C0">
        <w:rPr>
          <w:rFonts w:hint="eastAsia"/>
          <w:szCs w:val="21"/>
        </w:rPr>
        <w:t>城市强拆事件陆续引发政府形象危机，被拆迁者因财产利益严重损失而造成负面心理影响，对政府和社会产生不信任感，成为社会稳定发展的隐患。对于政府而言，强制拆迁行为会影响政府职能的正常履行，社会关系容易紧张，伤害政府的公信力。因此，关注研究城市治理过程中的强拆事件，更有利于为政府提供出解决问题的科学路径。</w:t>
      </w:r>
    </w:p>
    <w:p w:rsidR="001C260E" w:rsidRPr="009A74C0" w:rsidRDefault="001C260E" w:rsidP="00C42713">
      <w:pPr>
        <w:pStyle w:val="5"/>
        <w:numPr>
          <w:ilvl w:val="0"/>
          <w:numId w:val="3"/>
        </w:numPr>
        <w:rPr>
          <w:sz w:val="21"/>
          <w:szCs w:val="21"/>
        </w:rPr>
      </w:pPr>
      <w:r w:rsidRPr="009A74C0">
        <w:rPr>
          <w:rFonts w:hint="eastAsia"/>
          <w:sz w:val="21"/>
          <w:szCs w:val="21"/>
        </w:rPr>
        <w:t>完善城市房屋拆迁法律法规，出台明确的细则</w:t>
      </w:r>
    </w:p>
    <w:p w:rsidR="001C260E" w:rsidRPr="009A74C0" w:rsidRDefault="001C260E" w:rsidP="009A74C0">
      <w:pPr>
        <w:spacing w:line="360" w:lineRule="auto"/>
        <w:ind w:firstLineChars="200" w:firstLine="420"/>
        <w:rPr>
          <w:szCs w:val="21"/>
        </w:rPr>
      </w:pPr>
      <w:r w:rsidRPr="009A74C0">
        <w:rPr>
          <w:rFonts w:ascii="宋体" w:hAnsi="宋体" w:hint="eastAsia"/>
          <w:szCs w:val="21"/>
        </w:rPr>
        <w:t>城市房屋拆迁法律制度本身的不完善，增加了城市房屋拆迁工作的阻力，影响了城镇化发展的进程。</w:t>
      </w:r>
      <w:r w:rsidRPr="009A74C0">
        <w:rPr>
          <w:rFonts w:ascii="宋体" w:hAnsi="宋体"/>
          <w:szCs w:val="21"/>
        </w:rPr>
        <w:t>2011</w:t>
      </w:r>
      <w:r w:rsidRPr="009A74C0">
        <w:rPr>
          <w:rFonts w:ascii="宋体" w:hAnsi="宋体" w:hint="eastAsia"/>
          <w:szCs w:val="21"/>
        </w:rPr>
        <w:t>年</w:t>
      </w:r>
      <w:r w:rsidRPr="009A74C0">
        <w:rPr>
          <w:rFonts w:ascii="宋体" w:hAnsi="宋体"/>
          <w:szCs w:val="21"/>
        </w:rPr>
        <w:t>6</w:t>
      </w:r>
      <w:r w:rsidRPr="009A74C0">
        <w:rPr>
          <w:rFonts w:ascii="宋体" w:hAnsi="宋体" w:hint="eastAsia"/>
          <w:szCs w:val="21"/>
        </w:rPr>
        <w:t>月，全国人大常委会通过的《行政强制法》第</w:t>
      </w:r>
      <w:r w:rsidRPr="009A74C0">
        <w:rPr>
          <w:rFonts w:ascii="宋体" w:hAnsi="宋体"/>
          <w:szCs w:val="21"/>
        </w:rPr>
        <w:t>13</w:t>
      </w:r>
      <w:r w:rsidRPr="009A74C0">
        <w:rPr>
          <w:rFonts w:ascii="宋体" w:hAnsi="宋体" w:hint="eastAsia"/>
          <w:szCs w:val="21"/>
        </w:rPr>
        <w:t>条规定，“行政强制执行由法律规定。法律没有规定行政机关强制执行的，做出行政决定的行政机关应当申请人民法院强制执行。”执行主体除了行政机关自行强制执行外，还包括申请人民法院强制执</w:t>
      </w:r>
      <w:r w:rsidRPr="009A74C0">
        <w:rPr>
          <w:rFonts w:ascii="宋体" w:hAnsi="宋体" w:hint="eastAsia"/>
          <w:szCs w:val="21"/>
        </w:rPr>
        <w:lastRenderedPageBreak/>
        <w:t>行，这</w:t>
      </w:r>
      <w:r w:rsidRPr="009A74C0">
        <w:rPr>
          <w:rFonts w:hint="eastAsia"/>
          <w:szCs w:val="21"/>
        </w:rPr>
        <w:t>与房屋拆迁征收实务中的司法强拆</w:t>
      </w:r>
      <w:r w:rsidRPr="009A74C0">
        <w:rPr>
          <w:rFonts w:ascii="宋体" w:hAnsi="宋体" w:hint="eastAsia"/>
          <w:szCs w:val="21"/>
        </w:rPr>
        <w:t>有重复，维持了传统的行政机关执行和申请法院执行的双轨制</w:t>
      </w:r>
      <w:r w:rsidRPr="009A74C0">
        <w:rPr>
          <w:rFonts w:hint="eastAsia"/>
          <w:szCs w:val="21"/>
        </w:rPr>
        <w:t>。鉴于此，地方性配套立法应明确拆迁项目用途，界定清楚城市违章建筑的标准，明确强制拆迁的项目分类，出台明确的细则说明违章建筑和城市基础设施类项目实行“行政强拆”程序，商业性质的项目实行“司法强拆”程序，具体可参照福建与厦门等地方的做法。杜绝城市房屋拆迁过程中出现权利滥用，既维护被拆迁者的合法利益不受侵害，又能有效防范国家公权力与公民私权利之间的冲突。</w:t>
      </w:r>
      <w:r w:rsidRPr="009A74C0">
        <w:rPr>
          <w:szCs w:val="21"/>
        </w:rPr>
        <w:t xml:space="preserve"> </w:t>
      </w:r>
    </w:p>
    <w:p w:rsidR="001C260E" w:rsidRPr="009A74C0" w:rsidRDefault="001C260E" w:rsidP="00913288">
      <w:pPr>
        <w:pStyle w:val="5"/>
        <w:rPr>
          <w:rFonts w:ascii="宋体"/>
          <w:sz w:val="21"/>
          <w:szCs w:val="21"/>
        </w:rPr>
      </w:pPr>
      <w:r w:rsidRPr="009A74C0">
        <w:rPr>
          <w:rFonts w:ascii="宋体" w:hAnsi="宋体" w:hint="eastAsia"/>
          <w:sz w:val="21"/>
          <w:szCs w:val="21"/>
        </w:rPr>
        <w:t>（二）规范大众媒体传播报道强拆事件，争取公众的话语权</w:t>
      </w:r>
    </w:p>
    <w:p w:rsidR="001C260E" w:rsidRPr="009A74C0" w:rsidRDefault="001C260E" w:rsidP="009A74C0">
      <w:pPr>
        <w:spacing w:line="360" w:lineRule="auto"/>
        <w:ind w:firstLineChars="200" w:firstLine="420"/>
        <w:rPr>
          <w:szCs w:val="21"/>
        </w:rPr>
      </w:pPr>
      <w:r w:rsidRPr="009A74C0">
        <w:rPr>
          <w:rFonts w:hint="eastAsia"/>
          <w:szCs w:val="21"/>
        </w:rPr>
        <w:t>大众媒体和自媒体，在报道传播强拆事件时应规范传播报道中法律用词准确、规范，在充分了解我国城镇化发展的大政方针，熟悉国家拆迁法律法规等的基础上，客观公正地传播真实发生的拆迁事件。在争取公众话语权的同时，大众媒体舆论导向要重视突出国有土地房屋征收以公共利益为前提，合理限定城市未来发展所需的公共利益设施，真正保护被征收人的利益。尤其要了解国有土地上建筑物的拆迁，属于城市房屋拆迁的范畴，适用国务院《城市房屋拆迁管理条例》的规定；而农民集体所有土地地上建筑物的拆迁，属于集体土地征用中房屋拆迁范畴，适用《土地管理法》有关征地补偿安置的规定。总之，客观、规范化的事件传播才具备正能量，也才能真正获取到话语权。</w:t>
      </w:r>
    </w:p>
    <w:p w:rsidR="001C260E" w:rsidRPr="009A74C0" w:rsidRDefault="001C260E" w:rsidP="00913288">
      <w:pPr>
        <w:pStyle w:val="5"/>
        <w:rPr>
          <w:rFonts w:ascii="宋体"/>
          <w:sz w:val="21"/>
          <w:szCs w:val="21"/>
        </w:rPr>
      </w:pPr>
      <w:r w:rsidRPr="009A74C0">
        <w:rPr>
          <w:rFonts w:ascii="宋体" w:hAnsi="宋体" w:hint="eastAsia"/>
          <w:sz w:val="21"/>
          <w:szCs w:val="21"/>
        </w:rPr>
        <w:t>（三）推进城市规划设计的程序社会化，增加公众参与度</w:t>
      </w:r>
    </w:p>
    <w:p w:rsidR="001C260E" w:rsidRPr="009A74C0" w:rsidRDefault="001C260E" w:rsidP="009A74C0">
      <w:pPr>
        <w:spacing w:line="360" w:lineRule="auto"/>
        <w:ind w:firstLineChars="200" w:firstLine="420"/>
        <w:rPr>
          <w:szCs w:val="21"/>
        </w:rPr>
      </w:pPr>
      <w:r w:rsidRPr="009A74C0">
        <w:rPr>
          <w:rFonts w:hint="eastAsia"/>
          <w:szCs w:val="21"/>
        </w:rPr>
        <w:t>规划具有设计政治争论、司法决策、经济依赖和意识形态问题等特征</w:t>
      </w:r>
      <w:r w:rsidR="007145FC" w:rsidRPr="009A74C0">
        <w:rPr>
          <w:rFonts w:hint="eastAsia"/>
          <w:szCs w:val="21"/>
        </w:rPr>
        <w:t>。</w:t>
      </w:r>
      <w:r w:rsidRPr="009A74C0">
        <w:rPr>
          <w:rFonts w:hint="eastAsia"/>
          <w:szCs w:val="21"/>
        </w:rPr>
        <w:t>城市规划建设将引导大量公共资金以资本形式投资，涉及到城市每一个纳税人的切身利益，资金监管也成为关注重点。规划决策必然成为了利益的博弈场。因此，在城市总体规划时进行房屋拆迁，当地政府应避免权力本位主义，仅仅以政绩、发展的评定指标为偏好，应本着“以人为本”的理念，将城市规划设计的方案公布于众，广泛征集广大市民、不同行业、不同专业的人群反馈意见，修改完善后再公布方案，制定科学程序，汇总各方建议集大成者。这将有效地防范和避免在城市建设过程中出现国家公权力与公民私权利之间的冲突，有助于真正建设和谐社会。</w:t>
      </w:r>
    </w:p>
    <w:p w:rsidR="001C260E" w:rsidRPr="009A74C0" w:rsidRDefault="001C260E" w:rsidP="009A74C0">
      <w:pPr>
        <w:spacing w:line="360" w:lineRule="auto"/>
        <w:ind w:firstLineChars="200" w:firstLine="420"/>
        <w:rPr>
          <w:color w:val="FF0000"/>
          <w:szCs w:val="21"/>
        </w:rPr>
      </w:pPr>
    </w:p>
    <w:p w:rsidR="001C260E" w:rsidRPr="009A74C0" w:rsidRDefault="001C260E" w:rsidP="00EC1E07">
      <w:pPr>
        <w:spacing w:line="360" w:lineRule="auto"/>
        <w:rPr>
          <w:szCs w:val="21"/>
        </w:rPr>
      </w:pPr>
    </w:p>
    <w:p w:rsidR="001C260E" w:rsidRPr="009A74C0" w:rsidRDefault="001C260E" w:rsidP="00EC1E07">
      <w:pPr>
        <w:spacing w:line="360" w:lineRule="auto"/>
        <w:rPr>
          <w:b/>
          <w:szCs w:val="21"/>
        </w:rPr>
      </w:pPr>
      <w:r w:rsidRPr="009A74C0">
        <w:rPr>
          <w:rFonts w:hint="eastAsia"/>
          <w:b/>
          <w:szCs w:val="21"/>
        </w:rPr>
        <w:t>参考文献：</w:t>
      </w:r>
    </w:p>
    <w:p w:rsidR="001C260E" w:rsidRPr="009A74C0" w:rsidRDefault="001C260E" w:rsidP="00717242">
      <w:pPr>
        <w:spacing w:line="360" w:lineRule="auto"/>
        <w:rPr>
          <w:rFonts w:ascii="Times New Roman" w:hAnsi="Times New Roman"/>
          <w:szCs w:val="21"/>
        </w:rPr>
      </w:pPr>
      <w:r w:rsidRPr="009A74C0">
        <w:rPr>
          <w:rFonts w:ascii="Times New Roman" w:hAnsi="Times New Roman"/>
          <w:szCs w:val="21"/>
        </w:rPr>
        <w:lastRenderedPageBreak/>
        <w:t>[1]</w:t>
      </w:r>
      <w:r w:rsidRPr="009A74C0">
        <w:rPr>
          <w:rFonts w:ascii="Times New Roman" w:hAnsi="Times New Roman" w:hint="eastAsia"/>
          <w:szCs w:val="21"/>
        </w:rPr>
        <w:t>唐杰英</w:t>
      </w:r>
      <w:r w:rsidRPr="009A74C0">
        <w:rPr>
          <w:rFonts w:ascii="Times New Roman" w:hAnsi="Times New Roman"/>
          <w:szCs w:val="21"/>
        </w:rPr>
        <w:t>.</w:t>
      </w:r>
      <w:r w:rsidRPr="009A74C0">
        <w:rPr>
          <w:rFonts w:ascii="Times New Roman" w:hAnsi="Times New Roman" w:hint="eastAsia"/>
          <w:szCs w:val="21"/>
        </w:rPr>
        <w:t>“司法强拆”可否走出征收困局</w:t>
      </w:r>
      <w:r w:rsidRPr="009A74C0">
        <w:rPr>
          <w:rFonts w:ascii="Times New Roman" w:hAnsi="Times New Roman"/>
          <w:szCs w:val="21"/>
        </w:rPr>
        <w:t>[J].</w:t>
      </w:r>
      <w:r w:rsidRPr="009A74C0">
        <w:rPr>
          <w:rFonts w:ascii="Times New Roman" w:hAnsi="Times New Roman" w:hint="eastAsia"/>
          <w:szCs w:val="21"/>
        </w:rPr>
        <w:t>法学</w:t>
      </w:r>
      <w:r w:rsidRPr="009A74C0">
        <w:rPr>
          <w:rFonts w:ascii="Times New Roman" w:hAnsi="Times New Roman"/>
          <w:szCs w:val="21"/>
        </w:rPr>
        <w:t>,2012</w:t>
      </w:r>
      <w:r w:rsidR="00A14E6E">
        <w:rPr>
          <w:rFonts w:ascii="Times New Roman" w:hAnsi="Times New Roman" w:hint="eastAsia"/>
          <w:szCs w:val="21"/>
        </w:rPr>
        <w:t>,</w:t>
      </w:r>
      <w:r w:rsidRPr="009A74C0">
        <w:rPr>
          <w:rFonts w:ascii="Times New Roman" w:hAnsi="Times New Roman"/>
          <w:szCs w:val="21"/>
        </w:rPr>
        <w:t xml:space="preserve">(04):66-75. </w:t>
      </w:r>
    </w:p>
    <w:p w:rsidR="001C260E" w:rsidRPr="009A74C0" w:rsidRDefault="001C260E" w:rsidP="00717242">
      <w:pPr>
        <w:spacing w:line="360" w:lineRule="auto"/>
        <w:rPr>
          <w:rFonts w:ascii="Times New Roman" w:hAnsi="Times New Roman"/>
          <w:szCs w:val="21"/>
        </w:rPr>
      </w:pPr>
      <w:r w:rsidRPr="009A74C0">
        <w:rPr>
          <w:rFonts w:ascii="Times New Roman" w:hAnsi="Times New Roman"/>
          <w:szCs w:val="21"/>
        </w:rPr>
        <w:t>[2]</w:t>
      </w:r>
      <w:r w:rsidRPr="009A74C0">
        <w:rPr>
          <w:rFonts w:ascii="Times New Roman" w:hAnsi="Times New Roman" w:hint="eastAsia"/>
          <w:szCs w:val="21"/>
        </w:rPr>
        <w:t>温州市平阳县鳌江镇人民政府强拆被确认违法</w:t>
      </w:r>
      <w:r w:rsidRPr="009A74C0">
        <w:rPr>
          <w:rFonts w:ascii="Times New Roman" w:hAnsi="Times New Roman"/>
          <w:szCs w:val="21"/>
        </w:rPr>
        <w:t>[EB/OL] .http://www.bjsheng.org/a/jingdiananli/20140228/article-166.html</w:t>
      </w:r>
    </w:p>
    <w:p w:rsidR="001C260E" w:rsidRPr="009A74C0" w:rsidRDefault="001C260E" w:rsidP="00717242">
      <w:pPr>
        <w:spacing w:line="360" w:lineRule="auto"/>
        <w:rPr>
          <w:rFonts w:ascii="Times New Roman" w:hAnsi="Times New Roman"/>
          <w:szCs w:val="21"/>
        </w:rPr>
      </w:pPr>
      <w:r w:rsidRPr="009A74C0">
        <w:rPr>
          <w:rFonts w:ascii="Times New Roman" w:hAnsi="Times New Roman"/>
          <w:szCs w:val="21"/>
        </w:rPr>
        <w:t>[3]</w:t>
      </w:r>
      <w:r w:rsidRPr="009A74C0">
        <w:rPr>
          <w:rFonts w:ascii="Times New Roman" w:hAnsi="Times New Roman" w:hint="eastAsia"/>
          <w:szCs w:val="21"/>
        </w:rPr>
        <w:t>河南汝南：质疑赔偿标准</w:t>
      </w:r>
      <w:r w:rsidRPr="009A74C0">
        <w:rPr>
          <w:rFonts w:ascii="Times New Roman" w:hAnsi="Times New Roman"/>
          <w:szCs w:val="21"/>
        </w:rPr>
        <w:t xml:space="preserve"> </w:t>
      </w:r>
      <w:r w:rsidRPr="009A74C0">
        <w:rPr>
          <w:rFonts w:ascii="Times New Roman" w:hAnsi="Times New Roman" w:hint="eastAsia"/>
          <w:szCs w:val="21"/>
        </w:rPr>
        <w:t>合法建筑被指“违建”遭强拆</w:t>
      </w:r>
      <w:r w:rsidRPr="009A74C0">
        <w:rPr>
          <w:rFonts w:ascii="Times New Roman" w:hAnsi="Times New Roman"/>
          <w:szCs w:val="21"/>
        </w:rPr>
        <w:t>[EB/OL] .http://news.dichan.sina.com.cn/</w:t>
      </w:r>
      <w:smartTag w:uri="urn:schemas-microsoft-com:office:smarttags" w:element="chsdate">
        <w:smartTagPr>
          <w:attr w:name="IsROCDate" w:val="False"/>
          <w:attr w:name="IsLunarDate" w:val="False"/>
          <w:attr w:name="Day" w:val="14"/>
          <w:attr w:name="Month" w:val="1"/>
          <w:attr w:name="Year" w:val="2015"/>
        </w:smartTagPr>
        <w:r w:rsidRPr="009A74C0">
          <w:rPr>
            <w:rFonts w:ascii="Times New Roman" w:hAnsi="Times New Roman"/>
            <w:szCs w:val="21"/>
          </w:rPr>
          <w:t>2012/09/19</w:t>
        </w:r>
      </w:smartTag>
      <w:r w:rsidRPr="009A74C0">
        <w:rPr>
          <w:rFonts w:ascii="Times New Roman" w:hAnsi="Times New Roman"/>
          <w:szCs w:val="21"/>
        </w:rPr>
        <w:t>/567854.html</w:t>
      </w:r>
    </w:p>
    <w:p w:rsidR="001C260E" w:rsidRPr="009A74C0" w:rsidRDefault="001C260E" w:rsidP="00717242">
      <w:pPr>
        <w:spacing w:line="360" w:lineRule="auto"/>
        <w:rPr>
          <w:rFonts w:ascii="Times New Roman" w:hAnsi="Times New Roman"/>
          <w:szCs w:val="21"/>
        </w:rPr>
      </w:pPr>
      <w:r w:rsidRPr="009A74C0">
        <w:rPr>
          <w:rFonts w:ascii="Times New Roman" w:hAnsi="Times New Roman"/>
          <w:szCs w:val="21"/>
        </w:rPr>
        <w:t>[4]</w:t>
      </w:r>
      <w:r w:rsidRPr="009A74C0">
        <w:rPr>
          <w:rFonts w:ascii="Times New Roman" w:hAnsi="Times New Roman" w:hint="eastAsia"/>
          <w:szCs w:val="21"/>
        </w:rPr>
        <w:t>北大</w:t>
      </w:r>
      <w:r w:rsidRPr="009A74C0">
        <w:rPr>
          <w:rFonts w:ascii="Times New Roman" w:hAnsi="Times New Roman"/>
          <w:szCs w:val="21"/>
        </w:rPr>
        <w:t>5</w:t>
      </w:r>
      <w:r w:rsidRPr="009A74C0">
        <w:rPr>
          <w:rFonts w:ascii="Times New Roman" w:hAnsi="Times New Roman" w:hint="eastAsia"/>
          <w:szCs w:val="21"/>
        </w:rPr>
        <w:t>学者建言人大审查拆迁条例</w:t>
      </w:r>
      <w:r w:rsidRPr="009A74C0">
        <w:rPr>
          <w:rFonts w:ascii="Times New Roman" w:hAnsi="Times New Roman"/>
          <w:szCs w:val="21"/>
        </w:rPr>
        <w:t xml:space="preserve"> </w:t>
      </w:r>
      <w:r w:rsidRPr="009A74C0">
        <w:rPr>
          <w:rFonts w:ascii="Times New Roman" w:hAnsi="Times New Roman" w:hint="eastAsia"/>
          <w:szCs w:val="21"/>
        </w:rPr>
        <w:t>称与宪法抵触</w:t>
      </w:r>
      <w:r w:rsidRPr="009A74C0">
        <w:rPr>
          <w:rFonts w:ascii="Times New Roman" w:hAnsi="Times New Roman"/>
          <w:szCs w:val="21"/>
        </w:rPr>
        <w:t>[EB/OL] .http://news.qq.com/a/20091208/000113.htm</w:t>
      </w:r>
    </w:p>
    <w:p w:rsidR="001C260E" w:rsidRPr="009A74C0" w:rsidRDefault="001C260E" w:rsidP="00717242">
      <w:pPr>
        <w:spacing w:line="360" w:lineRule="auto"/>
        <w:rPr>
          <w:rFonts w:ascii="Times New Roman" w:hAnsi="Times New Roman"/>
          <w:szCs w:val="21"/>
        </w:rPr>
      </w:pPr>
      <w:r w:rsidRPr="009A74C0">
        <w:rPr>
          <w:rFonts w:ascii="Times New Roman" w:hAnsi="Times New Roman"/>
          <w:szCs w:val="21"/>
        </w:rPr>
        <w:t>[5]</w:t>
      </w:r>
      <w:r w:rsidRPr="009A74C0">
        <w:rPr>
          <w:rFonts w:ascii="Times New Roman" w:hAnsi="Times New Roman" w:hint="eastAsia"/>
          <w:szCs w:val="21"/>
        </w:rPr>
        <w:t>叶伟民</w:t>
      </w:r>
      <w:r w:rsidRPr="009A74C0">
        <w:rPr>
          <w:rFonts w:ascii="Times New Roman" w:hAnsi="Times New Roman"/>
          <w:szCs w:val="21"/>
        </w:rPr>
        <w:t>.</w:t>
      </w:r>
      <w:r w:rsidRPr="009A74C0">
        <w:rPr>
          <w:rFonts w:ascii="Times New Roman" w:hAnsi="Times New Roman" w:hint="eastAsia"/>
          <w:szCs w:val="21"/>
        </w:rPr>
        <w:t>曾被停职官员：唐福珍自焚是法盲的悲剧，</w:t>
      </w:r>
      <w:r w:rsidRPr="009A74C0">
        <w:rPr>
          <w:rFonts w:ascii="Times New Roman" w:hAnsi="Times New Roman"/>
          <w:szCs w:val="21"/>
        </w:rPr>
        <w:t>[EB/OL] .http://news.sina.com.cn/c/sd/</w:t>
      </w:r>
      <w:smartTag w:uri="urn:schemas-microsoft-com:office:smarttags" w:element="chsdate">
        <w:smartTagPr>
          <w:attr w:name="IsROCDate" w:val="False"/>
          <w:attr w:name="IsLunarDate" w:val="False"/>
          <w:attr w:name="Day" w:val="14"/>
          <w:attr w:name="Month" w:val="1"/>
          <w:attr w:name="Year" w:val="2015"/>
        </w:smartTagPr>
        <w:r w:rsidRPr="009A74C0">
          <w:rPr>
            <w:rFonts w:ascii="Times New Roman" w:hAnsi="Times New Roman"/>
            <w:szCs w:val="21"/>
          </w:rPr>
          <w:t>2010-04-08</w:t>
        </w:r>
      </w:smartTag>
      <w:r w:rsidRPr="009A74C0">
        <w:rPr>
          <w:rFonts w:ascii="Times New Roman" w:hAnsi="Times New Roman"/>
          <w:szCs w:val="21"/>
        </w:rPr>
        <w:t>/101320031324_2.shtml.</w:t>
      </w:r>
    </w:p>
    <w:p w:rsidR="001C260E" w:rsidRPr="009A74C0" w:rsidRDefault="001C260E" w:rsidP="00717242">
      <w:pPr>
        <w:spacing w:line="360" w:lineRule="auto"/>
        <w:rPr>
          <w:rFonts w:ascii="Times New Roman" w:hAnsi="Times New Roman"/>
          <w:szCs w:val="21"/>
        </w:rPr>
      </w:pPr>
      <w:r w:rsidRPr="009A74C0">
        <w:rPr>
          <w:rFonts w:ascii="Times New Roman" w:hAnsi="Times New Roman"/>
          <w:szCs w:val="21"/>
        </w:rPr>
        <w:t>[</w:t>
      </w:r>
      <w:r w:rsidR="007145FC" w:rsidRPr="009A74C0">
        <w:rPr>
          <w:rFonts w:ascii="Times New Roman" w:hAnsi="Times New Roman" w:hint="eastAsia"/>
          <w:szCs w:val="21"/>
        </w:rPr>
        <w:t>6</w:t>
      </w:r>
      <w:r w:rsidRPr="009A74C0">
        <w:rPr>
          <w:rFonts w:ascii="Times New Roman" w:hAnsi="Times New Roman"/>
          <w:szCs w:val="21"/>
        </w:rPr>
        <w:t>]</w:t>
      </w:r>
      <w:r w:rsidRPr="009A74C0">
        <w:rPr>
          <w:rFonts w:ascii="Times New Roman" w:hAnsi="Times New Roman" w:hint="eastAsia"/>
          <w:szCs w:val="21"/>
        </w:rPr>
        <w:t>对征地拆迁行为引发群体性事件的思考</w:t>
      </w:r>
      <w:r w:rsidRPr="009A74C0">
        <w:rPr>
          <w:rFonts w:ascii="Times New Roman" w:hAnsi="Times New Roman"/>
          <w:szCs w:val="21"/>
        </w:rPr>
        <w:t>[EB/OL] .http://blog.sina.com.cn/s/blog_789fddae0101trzg.html</w:t>
      </w:r>
    </w:p>
    <w:p w:rsidR="001C260E" w:rsidRPr="009A74C0" w:rsidRDefault="001C260E" w:rsidP="00717242">
      <w:pPr>
        <w:spacing w:line="360" w:lineRule="auto"/>
        <w:rPr>
          <w:rFonts w:ascii="Times New Roman" w:hAnsi="Times New Roman"/>
          <w:szCs w:val="21"/>
        </w:rPr>
      </w:pPr>
      <w:r w:rsidRPr="009A74C0">
        <w:rPr>
          <w:rFonts w:ascii="Times New Roman" w:hAnsi="Times New Roman"/>
          <w:szCs w:val="21"/>
        </w:rPr>
        <w:t>[</w:t>
      </w:r>
      <w:r w:rsidR="007145FC" w:rsidRPr="009A74C0">
        <w:rPr>
          <w:rFonts w:ascii="Times New Roman" w:hAnsi="Times New Roman" w:hint="eastAsia"/>
          <w:szCs w:val="21"/>
        </w:rPr>
        <w:t>7</w:t>
      </w:r>
      <w:r w:rsidRPr="009A74C0">
        <w:rPr>
          <w:rFonts w:ascii="Times New Roman" w:hAnsi="Times New Roman"/>
          <w:szCs w:val="21"/>
        </w:rPr>
        <w:t>]</w:t>
      </w:r>
      <w:r w:rsidRPr="009A74C0">
        <w:rPr>
          <w:rFonts w:ascii="Times New Roman" w:hAnsi="Times New Roman" w:hint="eastAsia"/>
          <w:szCs w:val="21"/>
        </w:rPr>
        <w:t>我国城市房屋拆迁法律存在的问题、原因分析及几点建议</w:t>
      </w:r>
      <w:r w:rsidRPr="009A74C0">
        <w:rPr>
          <w:rFonts w:ascii="Times New Roman" w:hAnsi="Times New Roman"/>
          <w:szCs w:val="21"/>
        </w:rPr>
        <w:t>[EB/OL] .http://www.xzbu.com/3/view-5860913.htm</w:t>
      </w:r>
    </w:p>
    <w:p w:rsidR="001C260E" w:rsidRPr="00A14E6E" w:rsidRDefault="001C260E" w:rsidP="00A14E6E">
      <w:pPr>
        <w:spacing w:line="360" w:lineRule="auto"/>
        <w:rPr>
          <w:rFonts w:ascii="Times New Roman" w:hAnsi="Times New Roman"/>
          <w:szCs w:val="21"/>
        </w:rPr>
      </w:pPr>
      <w:r w:rsidRPr="009A74C0">
        <w:rPr>
          <w:rFonts w:ascii="Times New Roman" w:hAnsi="Times New Roman"/>
          <w:szCs w:val="21"/>
        </w:rPr>
        <w:t>[</w:t>
      </w:r>
      <w:r w:rsidR="009A74C0" w:rsidRPr="009A74C0">
        <w:rPr>
          <w:rFonts w:ascii="Times New Roman" w:hAnsi="Times New Roman" w:hint="eastAsia"/>
          <w:szCs w:val="21"/>
        </w:rPr>
        <w:t>8</w:t>
      </w:r>
      <w:r w:rsidRPr="009A74C0">
        <w:rPr>
          <w:rFonts w:ascii="Times New Roman" w:hAnsi="Times New Roman"/>
          <w:szCs w:val="21"/>
        </w:rPr>
        <w:t>]</w:t>
      </w:r>
      <w:r w:rsidRPr="009A74C0">
        <w:rPr>
          <w:rFonts w:ascii="Times New Roman" w:hAnsi="Times New Roman" w:hint="eastAsia"/>
          <w:szCs w:val="21"/>
        </w:rPr>
        <w:t>刘锐，刘晓川</w:t>
      </w:r>
      <w:r w:rsidRPr="009A74C0">
        <w:rPr>
          <w:rFonts w:ascii="Times New Roman" w:hAnsi="Times New Roman"/>
          <w:szCs w:val="21"/>
        </w:rPr>
        <w:t>.</w:t>
      </w:r>
      <w:r w:rsidRPr="009A74C0">
        <w:rPr>
          <w:rFonts w:ascii="Times New Roman" w:hAnsi="Times New Roman" w:hint="eastAsia"/>
          <w:szCs w:val="21"/>
        </w:rPr>
        <w:t>从四起强拆案看我国强拆制度存在的问题</w:t>
      </w:r>
      <w:r w:rsidRPr="009A74C0">
        <w:rPr>
          <w:rFonts w:ascii="Times New Roman" w:hAnsi="Times New Roman"/>
          <w:szCs w:val="21"/>
        </w:rPr>
        <w:t>[J].</w:t>
      </w:r>
      <w:r w:rsidRPr="009A74C0">
        <w:rPr>
          <w:rFonts w:ascii="Times New Roman" w:hAnsi="Times New Roman" w:hint="eastAsia"/>
          <w:szCs w:val="21"/>
        </w:rPr>
        <w:t>国家行政学院学报</w:t>
      </w:r>
      <w:r w:rsidRPr="009A74C0">
        <w:rPr>
          <w:rFonts w:ascii="Times New Roman" w:hAnsi="Times New Roman"/>
          <w:szCs w:val="21"/>
        </w:rPr>
        <w:t xml:space="preserve">,2012(01):101-105. </w:t>
      </w:r>
    </w:p>
    <w:p w:rsidR="001C260E" w:rsidRPr="009A74C0" w:rsidRDefault="001C260E" w:rsidP="00DE5441">
      <w:pPr>
        <w:spacing w:line="360" w:lineRule="auto"/>
        <w:ind w:firstLine="480"/>
        <w:jc w:val="left"/>
        <w:rPr>
          <w:szCs w:val="21"/>
        </w:rPr>
      </w:pPr>
    </w:p>
    <w:p w:rsidR="001C260E" w:rsidRPr="009A74C0" w:rsidRDefault="001C260E" w:rsidP="003F3163">
      <w:pPr>
        <w:spacing w:line="360" w:lineRule="auto"/>
        <w:ind w:firstLine="480"/>
        <w:jc w:val="center"/>
        <w:rPr>
          <w:rFonts w:ascii="Times New Roman" w:hAnsi="Times New Roman"/>
          <w:color w:val="FF0000"/>
          <w:szCs w:val="21"/>
        </w:rPr>
      </w:pPr>
      <w:r w:rsidRPr="009A74C0">
        <w:rPr>
          <w:rFonts w:ascii="Times New Roman" w:hAnsi="Times New Roman"/>
          <w:color w:val="FF0000"/>
          <w:szCs w:val="21"/>
        </w:rPr>
        <w:t>Housing Demolitions of Urban Area and its Governance Based on Text Analysis</w:t>
      </w:r>
    </w:p>
    <w:p w:rsidR="001C260E" w:rsidRPr="009A74C0" w:rsidRDefault="001C260E" w:rsidP="003F3163">
      <w:pPr>
        <w:spacing w:line="360" w:lineRule="auto"/>
        <w:ind w:firstLine="480"/>
        <w:jc w:val="center"/>
        <w:outlineLvl w:val="0"/>
        <w:rPr>
          <w:rFonts w:ascii="Times New Roman" w:hAnsi="Times New Roman"/>
          <w:szCs w:val="21"/>
        </w:rPr>
      </w:pPr>
      <w:r w:rsidRPr="009A74C0">
        <w:rPr>
          <w:rFonts w:ascii="Times New Roman" w:hAnsi="Times New Roman"/>
          <w:szCs w:val="21"/>
        </w:rPr>
        <w:t>Shi Yajuan</w:t>
      </w:r>
      <w:r w:rsidRPr="009A74C0">
        <w:rPr>
          <w:rFonts w:ascii="Times New Roman" w:hAnsi="Times New Roman"/>
          <w:szCs w:val="21"/>
          <w:vertAlign w:val="superscript"/>
        </w:rPr>
        <w:t>1, 2</w:t>
      </w:r>
    </w:p>
    <w:p w:rsidR="001C260E" w:rsidRPr="009A74C0" w:rsidRDefault="001C260E" w:rsidP="003F3163">
      <w:pPr>
        <w:spacing w:line="360" w:lineRule="auto"/>
        <w:ind w:firstLine="480"/>
        <w:jc w:val="center"/>
        <w:rPr>
          <w:rFonts w:ascii="Times New Roman" w:hAnsi="Times New Roman"/>
          <w:szCs w:val="21"/>
        </w:rPr>
      </w:pPr>
      <w:r w:rsidRPr="009A74C0">
        <w:rPr>
          <w:rFonts w:ascii="Times New Roman" w:hAnsi="Times New Roman"/>
          <w:szCs w:val="21"/>
        </w:rPr>
        <w:t>(1. Key Laboratory of Regional Sustainable Development Modeling of CAS, Beijing, China 100101;2.Institute of Geographic Sciences and Natural Resources Research, CAS, Beijing, China 100101)</w:t>
      </w:r>
    </w:p>
    <w:p w:rsidR="001C260E" w:rsidRPr="009A74C0" w:rsidRDefault="001C260E" w:rsidP="003F3163">
      <w:pPr>
        <w:spacing w:line="360" w:lineRule="auto"/>
        <w:ind w:firstLine="480"/>
        <w:jc w:val="center"/>
        <w:rPr>
          <w:rFonts w:ascii="Times New Roman" w:hAnsi="Times New Roman"/>
          <w:szCs w:val="21"/>
        </w:rPr>
      </w:pPr>
    </w:p>
    <w:p w:rsidR="001C260E" w:rsidRPr="009A74C0" w:rsidRDefault="001C260E" w:rsidP="003F3163">
      <w:pPr>
        <w:spacing w:line="360" w:lineRule="auto"/>
        <w:ind w:firstLine="480"/>
        <w:rPr>
          <w:szCs w:val="21"/>
        </w:rPr>
      </w:pPr>
      <w:r w:rsidRPr="009A74C0">
        <w:rPr>
          <w:rFonts w:ascii="Times New Roman" w:hAnsi="Times New Roman"/>
          <w:b/>
          <w:szCs w:val="21"/>
        </w:rPr>
        <w:t xml:space="preserve">Abstract: </w:t>
      </w:r>
      <w:r w:rsidRPr="009A74C0">
        <w:rPr>
          <w:rFonts w:ascii="Times New Roman" w:hAnsi="Times New Roman"/>
          <w:szCs w:val="21"/>
        </w:rPr>
        <w:t>This paper applied the text-based approach and GIS spatial analysis methodology, and analyzed the characteristics of forced demolitions and evictions events that were reflected by the literature in CNKI among 2000-2016. Furthermore, we studied in depth the typical forced demolitions and evictions cases reported by the mass media within 2005-2014, and lastly proposed the governance pathway to dealing with the forced demolitions and evictions phenomenon.</w:t>
      </w:r>
    </w:p>
    <w:p w:rsidR="001C260E" w:rsidRPr="009A74C0" w:rsidRDefault="001C260E" w:rsidP="003F3163">
      <w:pPr>
        <w:spacing w:line="360" w:lineRule="auto"/>
        <w:ind w:firstLine="480"/>
        <w:rPr>
          <w:rFonts w:ascii="Times New Roman" w:hAnsi="Times New Roman"/>
          <w:szCs w:val="21"/>
        </w:rPr>
      </w:pPr>
      <w:r w:rsidRPr="009A74C0">
        <w:rPr>
          <w:rFonts w:ascii="Times New Roman" w:hAnsi="Times New Roman"/>
          <w:b/>
          <w:szCs w:val="21"/>
        </w:rPr>
        <w:t>Key words:</w:t>
      </w:r>
      <w:r w:rsidRPr="009A74C0">
        <w:rPr>
          <w:rFonts w:ascii="Times New Roman" w:hAnsi="Times New Roman"/>
          <w:szCs w:val="21"/>
        </w:rPr>
        <w:t xml:space="preserve"> Urban governance; Housing demolitions; Text Analysis; Spatial distribution ; Governance</w:t>
      </w:r>
      <w:r w:rsidR="009A74C0" w:rsidRPr="009A74C0">
        <w:rPr>
          <w:rFonts w:ascii="Times New Roman" w:hAnsi="Times New Roman" w:hint="eastAsia"/>
          <w:szCs w:val="21"/>
        </w:rPr>
        <w:t xml:space="preserve"> </w:t>
      </w:r>
      <w:r w:rsidRPr="009A74C0">
        <w:rPr>
          <w:rFonts w:ascii="Times New Roman" w:hAnsi="Times New Roman"/>
          <w:szCs w:val="21"/>
        </w:rPr>
        <w:t>path</w:t>
      </w:r>
    </w:p>
    <w:p w:rsidR="001C260E" w:rsidRPr="009A74C0" w:rsidRDefault="00A14E6E" w:rsidP="003F3163">
      <w:pPr>
        <w:spacing w:line="360" w:lineRule="auto"/>
        <w:ind w:firstLine="480"/>
        <w:jc w:val="left"/>
        <w:rPr>
          <w:szCs w:val="21"/>
        </w:rPr>
      </w:pPr>
      <w:r>
        <w:rPr>
          <w:rFonts w:hint="eastAsia"/>
          <w:szCs w:val="21"/>
        </w:rPr>
        <w:t>(</w:t>
      </w:r>
      <w:r>
        <w:rPr>
          <w:rFonts w:hint="eastAsia"/>
          <w:szCs w:val="21"/>
        </w:rPr>
        <w:t>责任编辑</w:t>
      </w:r>
      <w:r>
        <w:rPr>
          <w:rFonts w:hint="eastAsia"/>
          <w:szCs w:val="21"/>
        </w:rPr>
        <w:t>:</w:t>
      </w:r>
      <w:r>
        <w:rPr>
          <w:rFonts w:hint="eastAsia"/>
          <w:szCs w:val="21"/>
        </w:rPr>
        <w:t>汤文仙</w:t>
      </w:r>
      <w:r>
        <w:rPr>
          <w:rFonts w:hint="eastAsia"/>
          <w:szCs w:val="21"/>
        </w:rPr>
        <w:t>)</w:t>
      </w:r>
    </w:p>
    <w:sectPr w:rsidR="001C260E" w:rsidRPr="009A74C0" w:rsidSect="000F3F9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389" w:rsidRDefault="004B3389" w:rsidP="004014EC">
      <w:r>
        <w:separator/>
      </w:r>
    </w:p>
  </w:endnote>
  <w:endnote w:type="continuationSeparator" w:id="1">
    <w:p w:rsidR="004B3389" w:rsidRDefault="004B3389" w:rsidP="00401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E" w:rsidRDefault="00292E2A">
    <w:pPr>
      <w:pStyle w:val="a7"/>
      <w:jc w:val="center"/>
    </w:pPr>
    <w:fldSimple w:instr="PAGE   \* MERGEFORMAT">
      <w:r w:rsidR="00A14E6E" w:rsidRPr="00A14E6E">
        <w:rPr>
          <w:noProof/>
          <w:lang w:val="zh-CN"/>
        </w:rPr>
        <w:t>7</w:t>
      </w:r>
    </w:fldSimple>
  </w:p>
  <w:p w:rsidR="001C260E" w:rsidRDefault="001C260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389" w:rsidRDefault="004B3389" w:rsidP="004014EC">
      <w:r>
        <w:separator/>
      </w:r>
    </w:p>
  </w:footnote>
  <w:footnote w:type="continuationSeparator" w:id="1">
    <w:p w:rsidR="004B3389" w:rsidRDefault="004B3389" w:rsidP="004014EC">
      <w:r>
        <w:continuationSeparator/>
      </w:r>
    </w:p>
  </w:footnote>
  <w:footnote w:id="2">
    <w:p w:rsidR="001C260E" w:rsidRPr="00B82679" w:rsidRDefault="00A14E6E" w:rsidP="00B6780C">
      <w:pPr>
        <w:pStyle w:val="ab"/>
        <w:rPr>
          <w:rFonts w:ascii="Times New Roman" w:hAnsi="Times New Roman" w:cs="Times New Roman"/>
          <w:sz w:val="16"/>
          <w:szCs w:val="16"/>
        </w:rPr>
      </w:pPr>
      <w:r>
        <w:rPr>
          <w:rFonts w:ascii="Times New Roman" w:hAnsi="Times New Roman" w:cs="Times New Roman" w:hint="eastAsia"/>
          <w:sz w:val="16"/>
          <w:szCs w:val="16"/>
        </w:rPr>
        <w:t>收稿日期</w:t>
      </w:r>
      <w:r>
        <w:rPr>
          <w:rFonts w:ascii="Times New Roman" w:hAnsi="Times New Roman" w:cs="Times New Roman" w:hint="eastAsia"/>
          <w:sz w:val="16"/>
          <w:szCs w:val="16"/>
        </w:rPr>
        <w:t>:2017</w:t>
      </w:r>
      <w:r>
        <w:rPr>
          <w:rFonts w:ascii="Times New Roman" w:hAnsi="Times New Roman" w:cs="Times New Roman" w:hint="eastAsia"/>
          <w:sz w:val="16"/>
          <w:szCs w:val="16"/>
        </w:rPr>
        <w:t>年</w:t>
      </w:r>
      <w:r>
        <w:rPr>
          <w:rFonts w:ascii="Times New Roman" w:hAnsi="Times New Roman" w:cs="Times New Roman" w:hint="eastAsia"/>
          <w:sz w:val="16"/>
          <w:szCs w:val="16"/>
        </w:rPr>
        <w:t>06</w:t>
      </w:r>
      <w:r>
        <w:rPr>
          <w:rFonts w:ascii="Times New Roman" w:hAnsi="Times New Roman" w:cs="Times New Roman" w:hint="eastAsia"/>
          <w:sz w:val="16"/>
          <w:szCs w:val="16"/>
        </w:rPr>
        <w:t>月</w:t>
      </w:r>
      <w:r>
        <w:rPr>
          <w:rFonts w:ascii="Times New Roman" w:hAnsi="Times New Roman" w:cs="Times New Roman" w:hint="eastAsia"/>
          <w:sz w:val="16"/>
          <w:szCs w:val="16"/>
        </w:rPr>
        <w:t>01</w:t>
      </w:r>
      <w:r>
        <w:rPr>
          <w:rFonts w:ascii="Times New Roman" w:hAnsi="Times New Roman" w:cs="Times New Roman" w:hint="eastAsia"/>
          <w:sz w:val="16"/>
          <w:szCs w:val="16"/>
        </w:rPr>
        <w:t>日</w:t>
      </w:r>
    </w:p>
    <w:p w:rsidR="001C260E" w:rsidRDefault="001C260E" w:rsidP="00B6780C">
      <w:pPr>
        <w:pStyle w:val="ab"/>
        <w:rPr>
          <w:rFonts w:ascii="Times New Roman" w:hAnsi="Times New Roman" w:cs="Times New Roman"/>
          <w:sz w:val="16"/>
          <w:szCs w:val="16"/>
        </w:rPr>
      </w:pPr>
      <w:r w:rsidRPr="00B82679">
        <w:rPr>
          <w:rFonts w:ascii="Times New Roman" w:eastAsia="黑体" w:hAnsi="Times New Roman" w:cs="Times New Roman" w:hint="eastAsia"/>
          <w:sz w:val="16"/>
          <w:szCs w:val="16"/>
        </w:rPr>
        <w:t>作者</w:t>
      </w:r>
      <w:r w:rsidR="00A14E6E">
        <w:rPr>
          <w:rFonts w:ascii="Times New Roman" w:eastAsia="黑体" w:hAnsi="Times New Roman" w:cs="Times New Roman" w:hint="eastAsia"/>
          <w:sz w:val="16"/>
          <w:szCs w:val="16"/>
        </w:rPr>
        <w:t>简介</w:t>
      </w:r>
      <w:r w:rsidRPr="00B82679">
        <w:rPr>
          <w:rFonts w:ascii="Times New Roman" w:eastAsia="黑体" w:hAnsi="Times New Roman" w:cs="Times New Roman" w:hint="eastAsia"/>
          <w:sz w:val="16"/>
          <w:szCs w:val="16"/>
        </w:rPr>
        <w:t>：</w:t>
      </w:r>
      <w:r>
        <w:rPr>
          <w:rFonts w:ascii="Times New Roman" w:hAnsi="Times New Roman" w:cs="Times New Roman" w:hint="eastAsia"/>
          <w:sz w:val="16"/>
          <w:szCs w:val="16"/>
        </w:rPr>
        <w:t>史雅娟</w:t>
      </w:r>
      <w:r w:rsidRPr="00161F75">
        <w:rPr>
          <w:rFonts w:ascii="Times New Roman" w:hAnsi="Times New Roman" w:cs="Times New Roman"/>
          <w:sz w:val="16"/>
          <w:szCs w:val="16"/>
        </w:rPr>
        <w:t>(197</w:t>
      </w:r>
      <w:r>
        <w:rPr>
          <w:rFonts w:ascii="Times New Roman" w:hAnsi="Times New Roman" w:cs="Times New Roman"/>
          <w:sz w:val="16"/>
          <w:szCs w:val="16"/>
        </w:rPr>
        <w:t>7</w:t>
      </w:r>
      <w:r w:rsidRPr="00161F75">
        <w:rPr>
          <w:rFonts w:ascii="Times New Roman" w:hAnsi="Times New Roman" w:cs="Times New Roman"/>
          <w:sz w:val="16"/>
          <w:szCs w:val="16"/>
        </w:rPr>
        <w:t>-)</w:t>
      </w:r>
      <w:r w:rsidRPr="00161F75">
        <w:rPr>
          <w:rFonts w:ascii="Times New Roman" w:hAnsi="Times New Roman" w:cs="Times New Roman" w:hint="eastAsia"/>
          <w:sz w:val="16"/>
          <w:szCs w:val="16"/>
        </w:rPr>
        <w:t>，</w:t>
      </w:r>
      <w:r>
        <w:rPr>
          <w:rFonts w:ascii="Times New Roman" w:hAnsi="Times New Roman" w:cs="Times New Roman" w:hint="eastAsia"/>
          <w:sz w:val="16"/>
          <w:szCs w:val="16"/>
        </w:rPr>
        <w:t>女</w:t>
      </w:r>
      <w:r w:rsidRPr="00161F75">
        <w:rPr>
          <w:rFonts w:ascii="Times New Roman" w:hAnsi="Times New Roman" w:cs="Times New Roman" w:hint="eastAsia"/>
          <w:sz w:val="16"/>
          <w:szCs w:val="16"/>
        </w:rPr>
        <w:t>，河南</w:t>
      </w:r>
      <w:r>
        <w:rPr>
          <w:rFonts w:ascii="Times New Roman" w:hAnsi="Times New Roman" w:cs="Times New Roman" w:hint="eastAsia"/>
          <w:sz w:val="16"/>
          <w:szCs w:val="16"/>
        </w:rPr>
        <w:t>郑州</w:t>
      </w:r>
      <w:r w:rsidRPr="00161F75">
        <w:rPr>
          <w:rFonts w:ascii="Times New Roman" w:hAnsi="Times New Roman" w:cs="Times New Roman" w:hint="eastAsia"/>
          <w:sz w:val="16"/>
          <w:szCs w:val="16"/>
        </w:rPr>
        <w:t>人，</w:t>
      </w:r>
      <w:r>
        <w:rPr>
          <w:rFonts w:ascii="Times New Roman" w:hAnsi="Times New Roman" w:cs="Times New Roman" w:hint="eastAsia"/>
          <w:sz w:val="16"/>
          <w:szCs w:val="16"/>
        </w:rPr>
        <w:t>中国科学院地理科学与资源研究所博士后</w:t>
      </w:r>
      <w:r w:rsidRPr="00161F75">
        <w:rPr>
          <w:rFonts w:ascii="Times New Roman" w:hAnsi="Times New Roman" w:cs="Times New Roman" w:hint="eastAsia"/>
          <w:sz w:val="16"/>
          <w:szCs w:val="16"/>
        </w:rPr>
        <w:t>，研究方向为城市地理</w:t>
      </w:r>
      <w:r>
        <w:rPr>
          <w:rFonts w:ascii="Times New Roman" w:hAnsi="Times New Roman" w:cs="Times New Roman" w:hint="eastAsia"/>
          <w:sz w:val="16"/>
          <w:szCs w:val="16"/>
        </w:rPr>
        <w:t>、</w:t>
      </w:r>
      <w:r w:rsidRPr="00161F75">
        <w:rPr>
          <w:rFonts w:ascii="Times New Roman" w:hAnsi="Times New Roman" w:cs="Times New Roman" w:hint="eastAsia"/>
          <w:sz w:val="16"/>
          <w:szCs w:val="16"/>
        </w:rPr>
        <w:t>区域规划</w:t>
      </w:r>
      <w:r>
        <w:rPr>
          <w:rFonts w:ascii="Times New Roman" w:hAnsi="Times New Roman" w:cs="Times New Roman" w:hint="eastAsia"/>
          <w:sz w:val="16"/>
          <w:szCs w:val="16"/>
        </w:rPr>
        <w:t>、城市问题研究</w:t>
      </w:r>
      <w:r w:rsidRPr="00161F75">
        <w:rPr>
          <w:rFonts w:ascii="Times New Roman" w:hAnsi="Times New Roman" w:cs="Times New Roman" w:hint="eastAsia"/>
          <w:sz w:val="16"/>
          <w:szCs w:val="16"/>
        </w:rPr>
        <w:t>。</w:t>
      </w:r>
    </w:p>
    <w:p w:rsidR="001C260E" w:rsidRDefault="001C260E" w:rsidP="00B6780C">
      <w:pPr>
        <w:pStyle w:val="ab"/>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865F2D"/>
    <w:multiLevelType w:val="hybridMultilevel"/>
    <w:tmpl w:val="20FE3C88"/>
    <w:lvl w:ilvl="0" w:tplc="17BAABBE">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AB859E9"/>
    <w:multiLevelType w:val="hybridMultilevel"/>
    <w:tmpl w:val="49CC8AEE"/>
    <w:lvl w:ilvl="0" w:tplc="56B0257C">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76D52B28"/>
    <w:multiLevelType w:val="hybridMultilevel"/>
    <w:tmpl w:val="1B0E2908"/>
    <w:lvl w:ilvl="0" w:tplc="C9C6613E">
      <w:start w:val="1"/>
      <w:numFmt w:val="japaneseCounting"/>
      <w:lvlText w:val="（%1）"/>
      <w:lvlJc w:val="left"/>
      <w:pPr>
        <w:ind w:left="765" w:hanging="76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5958"/>
    <w:rsid w:val="000055F3"/>
    <w:rsid w:val="00014EAE"/>
    <w:rsid w:val="00020CB8"/>
    <w:rsid w:val="00023147"/>
    <w:rsid w:val="000264D5"/>
    <w:rsid w:val="00026731"/>
    <w:rsid w:val="0003107A"/>
    <w:rsid w:val="00042423"/>
    <w:rsid w:val="00045CDD"/>
    <w:rsid w:val="000620FB"/>
    <w:rsid w:val="00092204"/>
    <w:rsid w:val="000930F6"/>
    <w:rsid w:val="000B62F3"/>
    <w:rsid w:val="000D1FF4"/>
    <w:rsid w:val="000D3D08"/>
    <w:rsid w:val="000D7FBE"/>
    <w:rsid w:val="000F3F95"/>
    <w:rsid w:val="00101A35"/>
    <w:rsid w:val="00122A9E"/>
    <w:rsid w:val="001404DD"/>
    <w:rsid w:val="00160D1F"/>
    <w:rsid w:val="00161F75"/>
    <w:rsid w:val="00175C9B"/>
    <w:rsid w:val="00191C73"/>
    <w:rsid w:val="0019387D"/>
    <w:rsid w:val="00193FC8"/>
    <w:rsid w:val="00194210"/>
    <w:rsid w:val="001A02B2"/>
    <w:rsid w:val="001A1949"/>
    <w:rsid w:val="001A3529"/>
    <w:rsid w:val="001B3910"/>
    <w:rsid w:val="001C03CA"/>
    <w:rsid w:val="001C260E"/>
    <w:rsid w:val="001C7C64"/>
    <w:rsid w:val="001D25AE"/>
    <w:rsid w:val="001E20F0"/>
    <w:rsid w:val="001E50ED"/>
    <w:rsid w:val="00204BE4"/>
    <w:rsid w:val="00206391"/>
    <w:rsid w:val="002106EB"/>
    <w:rsid w:val="00212305"/>
    <w:rsid w:val="0021315B"/>
    <w:rsid w:val="00222C93"/>
    <w:rsid w:val="00222FAE"/>
    <w:rsid w:val="002327C8"/>
    <w:rsid w:val="00242902"/>
    <w:rsid w:val="00244B17"/>
    <w:rsid w:val="00246318"/>
    <w:rsid w:val="00251477"/>
    <w:rsid w:val="00255482"/>
    <w:rsid w:val="0025692D"/>
    <w:rsid w:val="00261D21"/>
    <w:rsid w:val="00265F6C"/>
    <w:rsid w:val="0027102F"/>
    <w:rsid w:val="00275389"/>
    <w:rsid w:val="002801C5"/>
    <w:rsid w:val="002908A0"/>
    <w:rsid w:val="00292E2A"/>
    <w:rsid w:val="002A35EE"/>
    <w:rsid w:val="002A6B14"/>
    <w:rsid w:val="002A7416"/>
    <w:rsid w:val="002A7624"/>
    <w:rsid w:val="002B192F"/>
    <w:rsid w:val="002D0649"/>
    <w:rsid w:val="002D5323"/>
    <w:rsid w:val="002E5A4E"/>
    <w:rsid w:val="002E70AC"/>
    <w:rsid w:val="002E74B6"/>
    <w:rsid w:val="002F2907"/>
    <w:rsid w:val="002F48EE"/>
    <w:rsid w:val="002F4979"/>
    <w:rsid w:val="00300092"/>
    <w:rsid w:val="00307181"/>
    <w:rsid w:val="00307C84"/>
    <w:rsid w:val="003274A4"/>
    <w:rsid w:val="00331BCD"/>
    <w:rsid w:val="00333251"/>
    <w:rsid w:val="00334127"/>
    <w:rsid w:val="00335BCE"/>
    <w:rsid w:val="0033740D"/>
    <w:rsid w:val="0034732A"/>
    <w:rsid w:val="00350034"/>
    <w:rsid w:val="00355611"/>
    <w:rsid w:val="00357AAB"/>
    <w:rsid w:val="003639BF"/>
    <w:rsid w:val="0036582B"/>
    <w:rsid w:val="00366EF3"/>
    <w:rsid w:val="00381014"/>
    <w:rsid w:val="00381412"/>
    <w:rsid w:val="003971EE"/>
    <w:rsid w:val="0039785B"/>
    <w:rsid w:val="003A2514"/>
    <w:rsid w:val="003B056D"/>
    <w:rsid w:val="003C0F6E"/>
    <w:rsid w:val="003C31DE"/>
    <w:rsid w:val="003D0C58"/>
    <w:rsid w:val="003F117C"/>
    <w:rsid w:val="003F3163"/>
    <w:rsid w:val="003F6431"/>
    <w:rsid w:val="004014EC"/>
    <w:rsid w:val="00404382"/>
    <w:rsid w:val="004134DB"/>
    <w:rsid w:val="00416D49"/>
    <w:rsid w:val="0042049E"/>
    <w:rsid w:val="00420AC9"/>
    <w:rsid w:val="0045740B"/>
    <w:rsid w:val="0046314E"/>
    <w:rsid w:val="004656B9"/>
    <w:rsid w:val="004661B6"/>
    <w:rsid w:val="00473E16"/>
    <w:rsid w:val="004811E0"/>
    <w:rsid w:val="004A17A3"/>
    <w:rsid w:val="004A3973"/>
    <w:rsid w:val="004A64C2"/>
    <w:rsid w:val="004B3389"/>
    <w:rsid w:val="004B590E"/>
    <w:rsid w:val="004D0636"/>
    <w:rsid w:val="004E1728"/>
    <w:rsid w:val="004E1CE8"/>
    <w:rsid w:val="004E4EFE"/>
    <w:rsid w:val="004E72FE"/>
    <w:rsid w:val="004F34A9"/>
    <w:rsid w:val="004F74E6"/>
    <w:rsid w:val="0050261F"/>
    <w:rsid w:val="00502622"/>
    <w:rsid w:val="00503904"/>
    <w:rsid w:val="00505F78"/>
    <w:rsid w:val="00511A41"/>
    <w:rsid w:val="00522067"/>
    <w:rsid w:val="00523708"/>
    <w:rsid w:val="0053764F"/>
    <w:rsid w:val="00540A54"/>
    <w:rsid w:val="00541870"/>
    <w:rsid w:val="00542C0E"/>
    <w:rsid w:val="00561883"/>
    <w:rsid w:val="00566F28"/>
    <w:rsid w:val="00575730"/>
    <w:rsid w:val="00576B1E"/>
    <w:rsid w:val="00577F19"/>
    <w:rsid w:val="00586F0E"/>
    <w:rsid w:val="0059619E"/>
    <w:rsid w:val="005B5091"/>
    <w:rsid w:val="005B6C41"/>
    <w:rsid w:val="005C16E2"/>
    <w:rsid w:val="005C2001"/>
    <w:rsid w:val="005C2DA3"/>
    <w:rsid w:val="005C3991"/>
    <w:rsid w:val="005C5698"/>
    <w:rsid w:val="005C60BA"/>
    <w:rsid w:val="005D6ECD"/>
    <w:rsid w:val="005E0B59"/>
    <w:rsid w:val="0060765D"/>
    <w:rsid w:val="0061052F"/>
    <w:rsid w:val="00616508"/>
    <w:rsid w:val="00616617"/>
    <w:rsid w:val="00620AC1"/>
    <w:rsid w:val="00626589"/>
    <w:rsid w:val="006274F9"/>
    <w:rsid w:val="0063123F"/>
    <w:rsid w:val="006358CF"/>
    <w:rsid w:val="00641FC8"/>
    <w:rsid w:val="00646A7D"/>
    <w:rsid w:val="0066011E"/>
    <w:rsid w:val="0067248E"/>
    <w:rsid w:val="006808F3"/>
    <w:rsid w:val="00682037"/>
    <w:rsid w:val="00696B4F"/>
    <w:rsid w:val="00697A9C"/>
    <w:rsid w:val="006A6A85"/>
    <w:rsid w:val="006B6755"/>
    <w:rsid w:val="006B6F99"/>
    <w:rsid w:val="006C26F0"/>
    <w:rsid w:val="006D54FF"/>
    <w:rsid w:val="006D589C"/>
    <w:rsid w:val="006E0DF8"/>
    <w:rsid w:val="006E3FCA"/>
    <w:rsid w:val="006F3957"/>
    <w:rsid w:val="006F5BA9"/>
    <w:rsid w:val="00700457"/>
    <w:rsid w:val="00704176"/>
    <w:rsid w:val="007145FC"/>
    <w:rsid w:val="00717242"/>
    <w:rsid w:val="00727159"/>
    <w:rsid w:val="007336FE"/>
    <w:rsid w:val="00737353"/>
    <w:rsid w:val="0075780E"/>
    <w:rsid w:val="00764272"/>
    <w:rsid w:val="00766868"/>
    <w:rsid w:val="007672D0"/>
    <w:rsid w:val="00767679"/>
    <w:rsid w:val="00775F3E"/>
    <w:rsid w:val="00784B7C"/>
    <w:rsid w:val="00785B20"/>
    <w:rsid w:val="00790EB9"/>
    <w:rsid w:val="00797095"/>
    <w:rsid w:val="007A4896"/>
    <w:rsid w:val="007A4E66"/>
    <w:rsid w:val="007B353A"/>
    <w:rsid w:val="007C4478"/>
    <w:rsid w:val="007D0EBF"/>
    <w:rsid w:val="007F018A"/>
    <w:rsid w:val="007F2113"/>
    <w:rsid w:val="008008DF"/>
    <w:rsid w:val="00814BE2"/>
    <w:rsid w:val="008200A6"/>
    <w:rsid w:val="00821AC6"/>
    <w:rsid w:val="00821CB0"/>
    <w:rsid w:val="00833D9F"/>
    <w:rsid w:val="00836BBE"/>
    <w:rsid w:val="008458FB"/>
    <w:rsid w:val="00856A9F"/>
    <w:rsid w:val="008573D8"/>
    <w:rsid w:val="008756BB"/>
    <w:rsid w:val="00891198"/>
    <w:rsid w:val="008A0B60"/>
    <w:rsid w:val="008B1434"/>
    <w:rsid w:val="008C3C10"/>
    <w:rsid w:val="008D361D"/>
    <w:rsid w:val="008D58FC"/>
    <w:rsid w:val="008E025C"/>
    <w:rsid w:val="008E2768"/>
    <w:rsid w:val="008E29FB"/>
    <w:rsid w:val="008E7000"/>
    <w:rsid w:val="009067E4"/>
    <w:rsid w:val="00906B1E"/>
    <w:rsid w:val="009106F0"/>
    <w:rsid w:val="00910854"/>
    <w:rsid w:val="00913288"/>
    <w:rsid w:val="009230B2"/>
    <w:rsid w:val="00926344"/>
    <w:rsid w:val="00942327"/>
    <w:rsid w:val="00943826"/>
    <w:rsid w:val="00945FDF"/>
    <w:rsid w:val="00951903"/>
    <w:rsid w:val="00953186"/>
    <w:rsid w:val="00963110"/>
    <w:rsid w:val="00967409"/>
    <w:rsid w:val="00971076"/>
    <w:rsid w:val="00981138"/>
    <w:rsid w:val="00990092"/>
    <w:rsid w:val="00996F2B"/>
    <w:rsid w:val="009A47B3"/>
    <w:rsid w:val="009A74C0"/>
    <w:rsid w:val="009A7A2C"/>
    <w:rsid w:val="009D5C29"/>
    <w:rsid w:val="009E4932"/>
    <w:rsid w:val="009F3E61"/>
    <w:rsid w:val="009F3FD1"/>
    <w:rsid w:val="00A00041"/>
    <w:rsid w:val="00A0038C"/>
    <w:rsid w:val="00A010C1"/>
    <w:rsid w:val="00A04BA5"/>
    <w:rsid w:val="00A121E7"/>
    <w:rsid w:val="00A14E6E"/>
    <w:rsid w:val="00A16065"/>
    <w:rsid w:val="00A2001B"/>
    <w:rsid w:val="00A200D6"/>
    <w:rsid w:val="00A36368"/>
    <w:rsid w:val="00A50EEF"/>
    <w:rsid w:val="00A62C1F"/>
    <w:rsid w:val="00A63785"/>
    <w:rsid w:val="00A7039B"/>
    <w:rsid w:val="00A708C8"/>
    <w:rsid w:val="00A821FE"/>
    <w:rsid w:val="00A86848"/>
    <w:rsid w:val="00A94FD5"/>
    <w:rsid w:val="00A95A72"/>
    <w:rsid w:val="00AA27F1"/>
    <w:rsid w:val="00AA3519"/>
    <w:rsid w:val="00AA65D1"/>
    <w:rsid w:val="00AB0941"/>
    <w:rsid w:val="00AC37C6"/>
    <w:rsid w:val="00AE6EE8"/>
    <w:rsid w:val="00AF0D5A"/>
    <w:rsid w:val="00AF6217"/>
    <w:rsid w:val="00B00507"/>
    <w:rsid w:val="00B04590"/>
    <w:rsid w:val="00B07F0D"/>
    <w:rsid w:val="00B13966"/>
    <w:rsid w:val="00B14D01"/>
    <w:rsid w:val="00B15255"/>
    <w:rsid w:val="00B30EBF"/>
    <w:rsid w:val="00B32082"/>
    <w:rsid w:val="00B53B87"/>
    <w:rsid w:val="00B54B29"/>
    <w:rsid w:val="00B56D99"/>
    <w:rsid w:val="00B6780C"/>
    <w:rsid w:val="00B82679"/>
    <w:rsid w:val="00B910D2"/>
    <w:rsid w:val="00B956C8"/>
    <w:rsid w:val="00B964B3"/>
    <w:rsid w:val="00BA171E"/>
    <w:rsid w:val="00BC1A82"/>
    <w:rsid w:val="00BF3A06"/>
    <w:rsid w:val="00BF3C38"/>
    <w:rsid w:val="00BF4C70"/>
    <w:rsid w:val="00C03ECD"/>
    <w:rsid w:val="00C10431"/>
    <w:rsid w:val="00C27B0A"/>
    <w:rsid w:val="00C27C7B"/>
    <w:rsid w:val="00C42713"/>
    <w:rsid w:val="00C451AF"/>
    <w:rsid w:val="00C651E7"/>
    <w:rsid w:val="00C7450C"/>
    <w:rsid w:val="00C82949"/>
    <w:rsid w:val="00C87B0A"/>
    <w:rsid w:val="00C90306"/>
    <w:rsid w:val="00CA5301"/>
    <w:rsid w:val="00CC2716"/>
    <w:rsid w:val="00CD321F"/>
    <w:rsid w:val="00CD4C5E"/>
    <w:rsid w:val="00CF5831"/>
    <w:rsid w:val="00D008AC"/>
    <w:rsid w:val="00D01603"/>
    <w:rsid w:val="00D01884"/>
    <w:rsid w:val="00D05DCB"/>
    <w:rsid w:val="00D07910"/>
    <w:rsid w:val="00D235BD"/>
    <w:rsid w:val="00D344CE"/>
    <w:rsid w:val="00D46CF7"/>
    <w:rsid w:val="00D5019A"/>
    <w:rsid w:val="00D63DCD"/>
    <w:rsid w:val="00D67EE9"/>
    <w:rsid w:val="00D731CD"/>
    <w:rsid w:val="00D76DA3"/>
    <w:rsid w:val="00D84CAB"/>
    <w:rsid w:val="00DB5968"/>
    <w:rsid w:val="00DB75F0"/>
    <w:rsid w:val="00DB7A87"/>
    <w:rsid w:val="00DC307C"/>
    <w:rsid w:val="00DC5D97"/>
    <w:rsid w:val="00DC7E68"/>
    <w:rsid w:val="00DD5AD5"/>
    <w:rsid w:val="00DE5441"/>
    <w:rsid w:val="00DE5F85"/>
    <w:rsid w:val="00E05958"/>
    <w:rsid w:val="00E156C2"/>
    <w:rsid w:val="00E17C90"/>
    <w:rsid w:val="00E22414"/>
    <w:rsid w:val="00E42FC4"/>
    <w:rsid w:val="00E432C6"/>
    <w:rsid w:val="00E43D18"/>
    <w:rsid w:val="00E57B43"/>
    <w:rsid w:val="00E73AE6"/>
    <w:rsid w:val="00E849BF"/>
    <w:rsid w:val="00EA12E6"/>
    <w:rsid w:val="00EC1E07"/>
    <w:rsid w:val="00EC3756"/>
    <w:rsid w:val="00ED318B"/>
    <w:rsid w:val="00EF347C"/>
    <w:rsid w:val="00EF3892"/>
    <w:rsid w:val="00EF5956"/>
    <w:rsid w:val="00F0755B"/>
    <w:rsid w:val="00F12065"/>
    <w:rsid w:val="00F12841"/>
    <w:rsid w:val="00F14601"/>
    <w:rsid w:val="00F15BE2"/>
    <w:rsid w:val="00F33919"/>
    <w:rsid w:val="00F33C37"/>
    <w:rsid w:val="00F47661"/>
    <w:rsid w:val="00F510C6"/>
    <w:rsid w:val="00F55579"/>
    <w:rsid w:val="00F57E33"/>
    <w:rsid w:val="00F64647"/>
    <w:rsid w:val="00F66774"/>
    <w:rsid w:val="00F733BE"/>
    <w:rsid w:val="00F756FA"/>
    <w:rsid w:val="00F840EB"/>
    <w:rsid w:val="00F94AC0"/>
    <w:rsid w:val="00FB1D1C"/>
    <w:rsid w:val="00FB290F"/>
    <w:rsid w:val="00FB55E5"/>
    <w:rsid w:val="00FB7D94"/>
    <w:rsid w:val="00FC4A17"/>
    <w:rsid w:val="00FD6291"/>
    <w:rsid w:val="00FF79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21CB0"/>
    <w:pPr>
      <w:widowControl w:val="0"/>
      <w:jc w:val="both"/>
    </w:pPr>
    <w:rPr>
      <w:kern w:val="2"/>
      <w:sz w:val="21"/>
      <w:szCs w:val="22"/>
    </w:rPr>
  </w:style>
  <w:style w:type="paragraph" w:styleId="1">
    <w:name w:val="heading 1"/>
    <w:basedOn w:val="a"/>
    <w:next w:val="a"/>
    <w:link w:val="1Char"/>
    <w:uiPriority w:val="99"/>
    <w:qFormat/>
    <w:rsid w:val="0030009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FB55E5"/>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FB55E5"/>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FB55E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9"/>
    <w:qFormat/>
    <w:rsid w:val="00FB55E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00092"/>
    <w:rPr>
      <w:rFonts w:cs="Times New Roman"/>
      <w:b/>
      <w:bCs/>
      <w:kern w:val="44"/>
      <w:sz w:val="44"/>
      <w:szCs w:val="44"/>
    </w:rPr>
  </w:style>
  <w:style w:type="character" w:customStyle="1" w:styleId="2Char">
    <w:name w:val="标题 2 Char"/>
    <w:basedOn w:val="a0"/>
    <w:link w:val="2"/>
    <w:uiPriority w:val="99"/>
    <w:locked/>
    <w:rsid w:val="00FB55E5"/>
    <w:rPr>
      <w:rFonts w:ascii="Cambria" w:eastAsia="宋体" w:hAnsi="Cambria" w:cs="Times New Roman"/>
      <w:b/>
      <w:bCs/>
      <w:sz w:val="32"/>
      <w:szCs w:val="32"/>
    </w:rPr>
  </w:style>
  <w:style w:type="character" w:customStyle="1" w:styleId="3Char">
    <w:name w:val="标题 3 Char"/>
    <w:basedOn w:val="a0"/>
    <w:link w:val="3"/>
    <w:uiPriority w:val="99"/>
    <w:locked/>
    <w:rsid w:val="00FB55E5"/>
    <w:rPr>
      <w:rFonts w:cs="Times New Roman"/>
      <w:b/>
      <w:bCs/>
      <w:sz w:val="32"/>
      <w:szCs w:val="32"/>
    </w:rPr>
  </w:style>
  <w:style w:type="character" w:customStyle="1" w:styleId="4Char">
    <w:name w:val="标题 4 Char"/>
    <w:basedOn w:val="a0"/>
    <w:link w:val="4"/>
    <w:uiPriority w:val="99"/>
    <w:locked/>
    <w:rsid w:val="00FB55E5"/>
    <w:rPr>
      <w:rFonts w:ascii="Cambria" w:eastAsia="宋体" w:hAnsi="Cambria" w:cs="Times New Roman"/>
      <w:b/>
      <w:bCs/>
      <w:sz w:val="28"/>
      <w:szCs w:val="28"/>
    </w:rPr>
  </w:style>
  <w:style w:type="character" w:customStyle="1" w:styleId="5Char">
    <w:name w:val="标题 5 Char"/>
    <w:basedOn w:val="a0"/>
    <w:link w:val="5"/>
    <w:uiPriority w:val="99"/>
    <w:locked/>
    <w:rsid w:val="00FB55E5"/>
    <w:rPr>
      <w:rFonts w:cs="Times New Roman"/>
      <w:b/>
      <w:bCs/>
      <w:sz w:val="28"/>
      <w:szCs w:val="28"/>
    </w:rPr>
  </w:style>
  <w:style w:type="paragraph" w:styleId="a3">
    <w:name w:val="List Paragraph"/>
    <w:basedOn w:val="a"/>
    <w:uiPriority w:val="99"/>
    <w:qFormat/>
    <w:rsid w:val="005D6ECD"/>
    <w:pPr>
      <w:ind w:firstLineChars="200" w:firstLine="420"/>
    </w:pPr>
  </w:style>
  <w:style w:type="character" w:styleId="a4">
    <w:name w:val="Hyperlink"/>
    <w:basedOn w:val="a0"/>
    <w:uiPriority w:val="99"/>
    <w:rsid w:val="00D67EE9"/>
    <w:rPr>
      <w:rFonts w:cs="Times New Roman"/>
      <w:color w:val="318B92"/>
      <w:u w:val="none"/>
      <w:effect w:val="none"/>
    </w:rPr>
  </w:style>
  <w:style w:type="paragraph" w:styleId="a5">
    <w:name w:val="Normal (Web)"/>
    <w:basedOn w:val="a"/>
    <w:uiPriority w:val="99"/>
    <w:rsid w:val="00D67EE9"/>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
    <w:uiPriority w:val="99"/>
    <w:rsid w:val="004014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locked/>
    <w:rsid w:val="004014EC"/>
    <w:rPr>
      <w:rFonts w:cs="Times New Roman"/>
      <w:sz w:val="18"/>
      <w:szCs w:val="18"/>
    </w:rPr>
  </w:style>
  <w:style w:type="paragraph" w:styleId="a7">
    <w:name w:val="footer"/>
    <w:basedOn w:val="a"/>
    <w:link w:val="Char0"/>
    <w:uiPriority w:val="99"/>
    <w:rsid w:val="004014EC"/>
    <w:pPr>
      <w:tabs>
        <w:tab w:val="center" w:pos="4153"/>
        <w:tab w:val="right" w:pos="8306"/>
      </w:tabs>
      <w:snapToGrid w:val="0"/>
      <w:jc w:val="left"/>
    </w:pPr>
    <w:rPr>
      <w:sz w:val="18"/>
      <w:szCs w:val="18"/>
    </w:rPr>
  </w:style>
  <w:style w:type="character" w:customStyle="1" w:styleId="Char0">
    <w:name w:val="页脚 Char"/>
    <w:basedOn w:val="a0"/>
    <w:link w:val="a7"/>
    <w:uiPriority w:val="99"/>
    <w:locked/>
    <w:rsid w:val="004014EC"/>
    <w:rPr>
      <w:rFonts w:cs="Times New Roman"/>
      <w:sz w:val="18"/>
      <w:szCs w:val="18"/>
    </w:rPr>
  </w:style>
  <w:style w:type="paragraph" w:styleId="a8">
    <w:name w:val="Balloon Text"/>
    <w:basedOn w:val="a"/>
    <w:link w:val="Char1"/>
    <w:uiPriority w:val="99"/>
    <w:semiHidden/>
    <w:rsid w:val="00A62C1F"/>
    <w:rPr>
      <w:sz w:val="18"/>
      <w:szCs w:val="18"/>
    </w:rPr>
  </w:style>
  <w:style w:type="character" w:customStyle="1" w:styleId="Char1">
    <w:name w:val="批注框文本 Char"/>
    <w:basedOn w:val="a0"/>
    <w:link w:val="a8"/>
    <w:uiPriority w:val="99"/>
    <w:semiHidden/>
    <w:locked/>
    <w:rsid w:val="00A62C1F"/>
    <w:rPr>
      <w:rFonts w:cs="Times New Roman"/>
      <w:sz w:val="18"/>
      <w:szCs w:val="18"/>
    </w:rPr>
  </w:style>
  <w:style w:type="paragraph" w:styleId="TOC">
    <w:name w:val="TOC Heading"/>
    <w:basedOn w:val="1"/>
    <w:next w:val="a"/>
    <w:uiPriority w:val="99"/>
    <w:qFormat/>
    <w:rsid w:val="00300092"/>
    <w:pPr>
      <w:widowControl/>
      <w:spacing w:before="480" w:after="0" w:line="276" w:lineRule="auto"/>
      <w:jc w:val="left"/>
      <w:outlineLvl w:val="9"/>
    </w:pPr>
    <w:rPr>
      <w:rFonts w:ascii="Cambria" w:hAnsi="Cambria"/>
      <w:color w:val="365F91"/>
      <w:kern w:val="0"/>
      <w:sz w:val="28"/>
      <w:szCs w:val="28"/>
    </w:rPr>
  </w:style>
  <w:style w:type="paragraph" w:styleId="40">
    <w:name w:val="toc 4"/>
    <w:basedOn w:val="a"/>
    <w:next w:val="a"/>
    <w:autoRedefine/>
    <w:uiPriority w:val="99"/>
    <w:rsid w:val="00C10431"/>
    <w:pPr>
      <w:tabs>
        <w:tab w:val="right" w:leader="dot" w:pos="8296"/>
      </w:tabs>
      <w:jc w:val="center"/>
    </w:pPr>
  </w:style>
  <w:style w:type="paragraph" w:styleId="50">
    <w:name w:val="toc 5"/>
    <w:basedOn w:val="a"/>
    <w:next w:val="a"/>
    <w:autoRedefine/>
    <w:uiPriority w:val="99"/>
    <w:rsid w:val="00300092"/>
    <w:pPr>
      <w:tabs>
        <w:tab w:val="right" w:leader="dot" w:pos="8296"/>
      </w:tabs>
      <w:ind w:leftChars="270" w:left="567"/>
    </w:pPr>
  </w:style>
  <w:style w:type="paragraph" w:styleId="a9">
    <w:name w:val="endnote text"/>
    <w:basedOn w:val="a"/>
    <w:link w:val="Char2"/>
    <w:uiPriority w:val="99"/>
    <w:semiHidden/>
    <w:rsid w:val="00D84CAB"/>
    <w:pPr>
      <w:snapToGrid w:val="0"/>
      <w:jc w:val="left"/>
    </w:pPr>
  </w:style>
  <w:style w:type="character" w:customStyle="1" w:styleId="Char2">
    <w:name w:val="尾注文本 Char"/>
    <w:basedOn w:val="a0"/>
    <w:link w:val="a9"/>
    <w:uiPriority w:val="99"/>
    <w:semiHidden/>
    <w:locked/>
    <w:rsid w:val="00D84CAB"/>
    <w:rPr>
      <w:rFonts w:cs="Times New Roman"/>
    </w:rPr>
  </w:style>
  <w:style w:type="character" w:styleId="aa">
    <w:name w:val="endnote reference"/>
    <w:basedOn w:val="a0"/>
    <w:uiPriority w:val="99"/>
    <w:semiHidden/>
    <w:rsid w:val="00D84CAB"/>
    <w:rPr>
      <w:rFonts w:cs="Times New Roman"/>
      <w:vertAlign w:val="superscript"/>
    </w:rPr>
  </w:style>
  <w:style w:type="paragraph" w:styleId="ab">
    <w:name w:val="footnote text"/>
    <w:basedOn w:val="a"/>
    <w:link w:val="Char3"/>
    <w:uiPriority w:val="99"/>
    <w:semiHidden/>
    <w:rsid w:val="00B6780C"/>
    <w:pPr>
      <w:widowControl/>
      <w:snapToGrid w:val="0"/>
      <w:jc w:val="left"/>
    </w:pPr>
    <w:rPr>
      <w:rFonts w:ascii="宋体" w:hAnsi="宋体" w:cs="宋体"/>
      <w:kern w:val="0"/>
      <w:sz w:val="18"/>
      <w:szCs w:val="18"/>
    </w:rPr>
  </w:style>
  <w:style w:type="character" w:customStyle="1" w:styleId="Char3">
    <w:name w:val="脚注文本 Char"/>
    <w:basedOn w:val="a0"/>
    <w:link w:val="ab"/>
    <w:uiPriority w:val="99"/>
    <w:semiHidden/>
    <w:locked/>
    <w:rsid w:val="00B6780C"/>
    <w:rPr>
      <w:rFonts w:ascii="宋体" w:eastAsia="宋体" w:hAnsi="宋体" w:cs="宋体"/>
      <w:kern w:val="0"/>
      <w:sz w:val="18"/>
      <w:szCs w:val="18"/>
    </w:rPr>
  </w:style>
  <w:style w:type="character" w:styleId="ac">
    <w:name w:val="footnote reference"/>
    <w:basedOn w:val="a0"/>
    <w:uiPriority w:val="99"/>
    <w:semiHidden/>
    <w:rsid w:val="00B6780C"/>
    <w:rPr>
      <w:rFonts w:cs="Times New Roman"/>
      <w:vertAlign w:val="superscript"/>
    </w:rPr>
  </w:style>
  <w:style w:type="paragraph" w:styleId="ad">
    <w:name w:val="Document Map"/>
    <w:basedOn w:val="a"/>
    <w:link w:val="Char4"/>
    <w:uiPriority w:val="99"/>
    <w:semiHidden/>
    <w:rsid w:val="00F55579"/>
    <w:pPr>
      <w:shd w:val="clear" w:color="auto" w:fill="000080"/>
    </w:pPr>
  </w:style>
  <w:style w:type="character" w:customStyle="1" w:styleId="Char4">
    <w:name w:val="文档结构图 Char"/>
    <w:basedOn w:val="a0"/>
    <w:link w:val="ad"/>
    <w:uiPriority w:val="99"/>
    <w:semiHidden/>
    <w:locked/>
    <w:rsid w:val="00682037"/>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332634351">
      <w:marLeft w:val="0"/>
      <w:marRight w:val="0"/>
      <w:marTop w:val="0"/>
      <w:marBottom w:val="0"/>
      <w:divBdr>
        <w:top w:val="none" w:sz="0" w:space="0" w:color="auto"/>
        <w:left w:val="none" w:sz="0" w:space="0" w:color="auto"/>
        <w:bottom w:val="none" w:sz="0" w:space="0" w:color="auto"/>
        <w:right w:val="none" w:sz="0" w:space="0" w:color="auto"/>
      </w:divBdr>
    </w:div>
    <w:div w:id="1332634355">
      <w:marLeft w:val="0"/>
      <w:marRight w:val="0"/>
      <w:marTop w:val="0"/>
      <w:marBottom w:val="0"/>
      <w:divBdr>
        <w:top w:val="none" w:sz="0" w:space="0" w:color="auto"/>
        <w:left w:val="none" w:sz="0" w:space="0" w:color="auto"/>
        <w:bottom w:val="none" w:sz="0" w:space="0" w:color="auto"/>
        <w:right w:val="none" w:sz="0" w:space="0" w:color="auto"/>
      </w:divBdr>
      <w:divsChild>
        <w:div w:id="1332634347">
          <w:marLeft w:val="0"/>
          <w:marRight w:val="0"/>
          <w:marTop w:val="0"/>
          <w:marBottom w:val="0"/>
          <w:divBdr>
            <w:top w:val="none" w:sz="0" w:space="0" w:color="auto"/>
            <w:left w:val="none" w:sz="0" w:space="0" w:color="auto"/>
            <w:bottom w:val="none" w:sz="0" w:space="0" w:color="auto"/>
            <w:right w:val="none" w:sz="0" w:space="0" w:color="auto"/>
          </w:divBdr>
        </w:div>
      </w:divsChild>
    </w:div>
    <w:div w:id="1332634358">
      <w:marLeft w:val="0"/>
      <w:marRight w:val="0"/>
      <w:marTop w:val="0"/>
      <w:marBottom w:val="0"/>
      <w:divBdr>
        <w:top w:val="none" w:sz="0" w:space="0" w:color="auto"/>
        <w:left w:val="none" w:sz="0" w:space="0" w:color="auto"/>
        <w:bottom w:val="none" w:sz="0" w:space="0" w:color="auto"/>
        <w:right w:val="none" w:sz="0" w:space="0" w:color="auto"/>
      </w:divBdr>
      <w:divsChild>
        <w:div w:id="1332634410">
          <w:marLeft w:val="0"/>
          <w:marRight w:val="0"/>
          <w:marTop w:val="0"/>
          <w:marBottom w:val="0"/>
          <w:divBdr>
            <w:top w:val="none" w:sz="0" w:space="0" w:color="auto"/>
            <w:left w:val="none" w:sz="0" w:space="0" w:color="auto"/>
            <w:bottom w:val="none" w:sz="0" w:space="0" w:color="auto"/>
            <w:right w:val="none" w:sz="0" w:space="0" w:color="auto"/>
          </w:divBdr>
          <w:divsChild>
            <w:div w:id="1332634384">
              <w:marLeft w:val="0"/>
              <w:marRight w:val="0"/>
              <w:marTop w:val="0"/>
              <w:marBottom w:val="0"/>
              <w:divBdr>
                <w:top w:val="none" w:sz="0" w:space="0" w:color="auto"/>
                <w:left w:val="none" w:sz="0" w:space="0" w:color="auto"/>
                <w:bottom w:val="none" w:sz="0" w:space="0" w:color="auto"/>
                <w:right w:val="none" w:sz="0" w:space="0" w:color="auto"/>
              </w:divBdr>
              <w:divsChild>
                <w:div w:id="1332634363">
                  <w:marLeft w:val="0"/>
                  <w:marRight w:val="0"/>
                  <w:marTop w:val="0"/>
                  <w:marBottom w:val="0"/>
                  <w:divBdr>
                    <w:top w:val="none" w:sz="0" w:space="0" w:color="auto"/>
                    <w:left w:val="none" w:sz="0" w:space="0" w:color="auto"/>
                    <w:bottom w:val="none" w:sz="0" w:space="0" w:color="auto"/>
                    <w:right w:val="none" w:sz="0" w:space="0" w:color="auto"/>
                  </w:divBdr>
                  <w:divsChild>
                    <w:div w:id="1332634352">
                      <w:marLeft w:val="150"/>
                      <w:marRight w:val="0"/>
                      <w:marTop w:val="0"/>
                      <w:marBottom w:val="0"/>
                      <w:divBdr>
                        <w:top w:val="none" w:sz="0" w:space="0" w:color="auto"/>
                        <w:left w:val="none" w:sz="0" w:space="0" w:color="auto"/>
                        <w:bottom w:val="none" w:sz="0" w:space="0" w:color="auto"/>
                        <w:right w:val="none" w:sz="0" w:space="0" w:color="auto"/>
                      </w:divBdr>
                      <w:divsChild>
                        <w:div w:id="1332634362">
                          <w:marLeft w:val="0"/>
                          <w:marRight w:val="0"/>
                          <w:marTop w:val="0"/>
                          <w:marBottom w:val="150"/>
                          <w:divBdr>
                            <w:top w:val="none" w:sz="0" w:space="0" w:color="auto"/>
                            <w:left w:val="none" w:sz="0" w:space="0" w:color="auto"/>
                            <w:bottom w:val="none" w:sz="0" w:space="0" w:color="auto"/>
                            <w:right w:val="none" w:sz="0" w:space="0" w:color="auto"/>
                          </w:divBdr>
                          <w:divsChild>
                            <w:div w:id="1332634394">
                              <w:marLeft w:val="0"/>
                              <w:marRight w:val="0"/>
                              <w:marTop w:val="0"/>
                              <w:marBottom w:val="0"/>
                              <w:divBdr>
                                <w:top w:val="none" w:sz="0" w:space="0" w:color="auto"/>
                                <w:left w:val="none" w:sz="0" w:space="0" w:color="auto"/>
                                <w:bottom w:val="none" w:sz="0" w:space="0" w:color="auto"/>
                                <w:right w:val="none" w:sz="0" w:space="0" w:color="auto"/>
                              </w:divBdr>
                              <w:divsChild>
                                <w:div w:id="1332634406">
                                  <w:marLeft w:val="0"/>
                                  <w:marRight w:val="0"/>
                                  <w:marTop w:val="0"/>
                                  <w:marBottom w:val="0"/>
                                  <w:divBdr>
                                    <w:top w:val="none" w:sz="0" w:space="0" w:color="auto"/>
                                    <w:left w:val="none" w:sz="0" w:space="0" w:color="auto"/>
                                    <w:bottom w:val="none" w:sz="0" w:space="0" w:color="auto"/>
                                    <w:right w:val="none" w:sz="0" w:space="0" w:color="auto"/>
                                  </w:divBdr>
                                  <w:divsChild>
                                    <w:div w:id="13326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634360">
      <w:marLeft w:val="0"/>
      <w:marRight w:val="0"/>
      <w:marTop w:val="0"/>
      <w:marBottom w:val="0"/>
      <w:divBdr>
        <w:top w:val="none" w:sz="0" w:space="0" w:color="auto"/>
        <w:left w:val="none" w:sz="0" w:space="0" w:color="auto"/>
        <w:bottom w:val="none" w:sz="0" w:space="0" w:color="auto"/>
        <w:right w:val="none" w:sz="0" w:space="0" w:color="auto"/>
      </w:divBdr>
    </w:div>
    <w:div w:id="1332634364">
      <w:marLeft w:val="0"/>
      <w:marRight w:val="0"/>
      <w:marTop w:val="0"/>
      <w:marBottom w:val="0"/>
      <w:divBdr>
        <w:top w:val="none" w:sz="0" w:space="0" w:color="auto"/>
        <w:left w:val="none" w:sz="0" w:space="0" w:color="auto"/>
        <w:bottom w:val="none" w:sz="0" w:space="0" w:color="auto"/>
        <w:right w:val="none" w:sz="0" w:space="0" w:color="auto"/>
      </w:divBdr>
    </w:div>
    <w:div w:id="1332634365">
      <w:marLeft w:val="0"/>
      <w:marRight w:val="0"/>
      <w:marTop w:val="0"/>
      <w:marBottom w:val="0"/>
      <w:divBdr>
        <w:top w:val="none" w:sz="0" w:space="0" w:color="auto"/>
        <w:left w:val="none" w:sz="0" w:space="0" w:color="auto"/>
        <w:bottom w:val="none" w:sz="0" w:space="0" w:color="auto"/>
        <w:right w:val="none" w:sz="0" w:space="0" w:color="auto"/>
      </w:divBdr>
      <w:divsChild>
        <w:div w:id="1332634361">
          <w:marLeft w:val="0"/>
          <w:marRight w:val="0"/>
          <w:marTop w:val="0"/>
          <w:marBottom w:val="0"/>
          <w:divBdr>
            <w:top w:val="none" w:sz="0" w:space="0" w:color="auto"/>
            <w:left w:val="none" w:sz="0" w:space="0" w:color="auto"/>
            <w:bottom w:val="none" w:sz="0" w:space="0" w:color="auto"/>
            <w:right w:val="none" w:sz="0" w:space="0" w:color="auto"/>
          </w:divBdr>
          <w:divsChild>
            <w:div w:id="1332634375">
              <w:marLeft w:val="0"/>
              <w:marRight w:val="0"/>
              <w:marTop w:val="0"/>
              <w:marBottom w:val="0"/>
              <w:divBdr>
                <w:top w:val="none" w:sz="0" w:space="0" w:color="auto"/>
                <w:left w:val="none" w:sz="0" w:space="0" w:color="auto"/>
                <w:bottom w:val="none" w:sz="0" w:space="0" w:color="auto"/>
                <w:right w:val="none" w:sz="0" w:space="0" w:color="auto"/>
              </w:divBdr>
              <w:divsChild>
                <w:div w:id="1332634411">
                  <w:marLeft w:val="0"/>
                  <w:marRight w:val="0"/>
                  <w:marTop w:val="0"/>
                  <w:marBottom w:val="0"/>
                  <w:divBdr>
                    <w:top w:val="none" w:sz="0" w:space="0" w:color="auto"/>
                    <w:left w:val="none" w:sz="0" w:space="0" w:color="auto"/>
                    <w:bottom w:val="none" w:sz="0" w:space="0" w:color="auto"/>
                    <w:right w:val="none" w:sz="0" w:space="0" w:color="auto"/>
                  </w:divBdr>
                  <w:divsChild>
                    <w:div w:id="1332634372">
                      <w:marLeft w:val="150"/>
                      <w:marRight w:val="0"/>
                      <w:marTop w:val="0"/>
                      <w:marBottom w:val="0"/>
                      <w:divBdr>
                        <w:top w:val="none" w:sz="0" w:space="0" w:color="auto"/>
                        <w:left w:val="none" w:sz="0" w:space="0" w:color="auto"/>
                        <w:bottom w:val="none" w:sz="0" w:space="0" w:color="auto"/>
                        <w:right w:val="none" w:sz="0" w:space="0" w:color="auto"/>
                      </w:divBdr>
                      <w:divsChild>
                        <w:div w:id="1332634385">
                          <w:marLeft w:val="0"/>
                          <w:marRight w:val="0"/>
                          <w:marTop w:val="0"/>
                          <w:marBottom w:val="150"/>
                          <w:divBdr>
                            <w:top w:val="none" w:sz="0" w:space="0" w:color="auto"/>
                            <w:left w:val="none" w:sz="0" w:space="0" w:color="auto"/>
                            <w:bottom w:val="none" w:sz="0" w:space="0" w:color="auto"/>
                            <w:right w:val="none" w:sz="0" w:space="0" w:color="auto"/>
                          </w:divBdr>
                          <w:divsChild>
                            <w:div w:id="1332634392">
                              <w:marLeft w:val="0"/>
                              <w:marRight w:val="0"/>
                              <w:marTop w:val="0"/>
                              <w:marBottom w:val="0"/>
                              <w:divBdr>
                                <w:top w:val="none" w:sz="0" w:space="0" w:color="auto"/>
                                <w:left w:val="none" w:sz="0" w:space="0" w:color="auto"/>
                                <w:bottom w:val="none" w:sz="0" w:space="0" w:color="auto"/>
                                <w:right w:val="none" w:sz="0" w:space="0" w:color="auto"/>
                              </w:divBdr>
                              <w:divsChild>
                                <w:div w:id="1332634349">
                                  <w:marLeft w:val="0"/>
                                  <w:marRight w:val="0"/>
                                  <w:marTop w:val="0"/>
                                  <w:marBottom w:val="0"/>
                                  <w:divBdr>
                                    <w:top w:val="none" w:sz="0" w:space="0" w:color="auto"/>
                                    <w:left w:val="none" w:sz="0" w:space="0" w:color="auto"/>
                                    <w:bottom w:val="none" w:sz="0" w:space="0" w:color="auto"/>
                                    <w:right w:val="none" w:sz="0" w:space="0" w:color="auto"/>
                                  </w:divBdr>
                                  <w:divsChild>
                                    <w:div w:id="133263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634366">
      <w:marLeft w:val="0"/>
      <w:marRight w:val="0"/>
      <w:marTop w:val="0"/>
      <w:marBottom w:val="0"/>
      <w:divBdr>
        <w:top w:val="none" w:sz="0" w:space="0" w:color="auto"/>
        <w:left w:val="none" w:sz="0" w:space="0" w:color="auto"/>
        <w:bottom w:val="none" w:sz="0" w:space="0" w:color="auto"/>
        <w:right w:val="none" w:sz="0" w:space="0" w:color="auto"/>
      </w:divBdr>
    </w:div>
    <w:div w:id="1332634368">
      <w:marLeft w:val="0"/>
      <w:marRight w:val="0"/>
      <w:marTop w:val="0"/>
      <w:marBottom w:val="0"/>
      <w:divBdr>
        <w:top w:val="none" w:sz="0" w:space="0" w:color="auto"/>
        <w:left w:val="none" w:sz="0" w:space="0" w:color="auto"/>
        <w:bottom w:val="none" w:sz="0" w:space="0" w:color="auto"/>
        <w:right w:val="none" w:sz="0" w:space="0" w:color="auto"/>
      </w:divBdr>
      <w:divsChild>
        <w:div w:id="1332634345">
          <w:marLeft w:val="0"/>
          <w:marRight w:val="0"/>
          <w:marTop w:val="0"/>
          <w:marBottom w:val="0"/>
          <w:divBdr>
            <w:top w:val="none" w:sz="0" w:space="0" w:color="auto"/>
            <w:left w:val="none" w:sz="0" w:space="0" w:color="auto"/>
            <w:bottom w:val="none" w:sz="0" w:space="0" w:color="auto"/>
            <w:right w:val="none" w:sz="0" w:space="0" w:color="auto"/>
          </w:divBdr>
          <w:divsChild>
            <w:div w:id="1332634381">
              <w:marLeft w:val="0"/>
              <w:marRight w:val="0"/>
              <w:marTop w:val="0"/>
              <w:marBottom w:val="0"/>
              <w:divBdr>
                <w:top w:val="none" w:sz="0" w:space="0" w:color="auto"/>
                <w:left w:val="none" w:sz="0" w:space="0" w:color="auto"/>
                <w:bottom w:val="none" w:sz="0" w:space="0" w:color="auto"/>
                <w:right w:val="none" w:sz="0" w:space="0" w:color="auto"/>
              </w:divBdr>
              <w:divsChild>
                <w:div w:id="1332634387">
                  <w:marLeft w:val="0"/>
                  <w:marRight w:val="0"/>
                  <w:marTop w:val="0"/>
                  <w:marBottom w:val="0"/>
                  <w:divBdr>
                    <w:top w:val="none" w:sz="0" w:space="0" w:color="auto"/>
                    <w:left w:val="none" w:sz="0" w:space="0" w:color="auto"/>
                    <w:bottom w:val="none" w:sz="0" w:space="0" w:color="auto"/>
                    <w:right w:val="none" w:sz="0" w:space="0" w:color="auto"/>
                  </w:divBdr>
                  <w:divsChild>
                    <w:div w:id="1332634377">
                      <w:marLeft w:val="150"/>
                      <w:marRight w:val="0"/>
                      <w:marTop w:val="0"/>
                      <w:marBottom w:val="0"/>
                      <w:divBdr>
                        <w:top w:val="none" w:sz="0" w:space="0" w:color="auto"/>
                        <w:left w:val="none" w:sz="0" w:space="0" w:color="auto"/>
                        <w:bottom w:val="none" w:sz="0" w:space="0" w:color="auto"/>
                        <w:right w:val="none" w:sz="0" w:space="0" w:color="auto"/>
                      </w:divBdr>
                      <w:divsChild>
                        <w:div w:id="1332634407">
                          <w:marLeft w:val="0"/>
                          <w:marRight w:val="0"/>
                          <w:marTop w:val="0"/>
                          <w:marBottom w:val="150"/>
                          <w:divBdr>
                            <w:top w:val="none" w:sz="0" w:space="0" w:color="auto"/>
                            <w:left w:val="none" w:sz="0" w:space="0" w:color="auto"/>
                            <w:bottom w:val="none" w:sz="0" w:space="0" w:color="auto"/>
                            <w:right w:val="none" w:sz="0" w:space="0" w:color="auto"/>
                          </w:divBdr>
                          <w:divsChild>
                            <w:div w:id="1332634409">
                              <w:marLeft w:val="0"/>
                              <w:marRight w:val="0"/>
                              <w:marTop w:val="0"/>
                              <w:marBottom w:val="0"/>
                              <w:divBdr>
                                <w:top w:val="none" w:sz="0" w:space="0" w:color="auto"/>
                                <w:left w:val="none" w:sz="0" w:space="0" w:color="auto"/>
                                <w:bottom w:val="none" w:sz="0" w:space="0" w:color="auto"/>
                                <w:right w:val="none" w:sz="0" w:space="0" w:color="auto"/>
                              </w:divBdr>
                              <w:divsChild>
                                <w:div w:id="1332634405">
                                  <w:marLeft w:val="0"/>
                                  <w:marRight w:val="0"/>
                                  <w:marTop w:val="0"/>
                                  <w:marBottom w:val="0"/>
                                  <w:divBdr>
                                    <w:top w:val="none" w:sz="0" w:space="0" w:color="auto"/>
                                    <w:left w:val="none" w:sz="0" w:space="0" w:color="auto"/>
                                    <w:bottom w:val="none" w:sz="0" w:space="0" w:color="auto"/>
                                    <w:right w:val="none" w:sz="0" w:space="0" w:color="auto"/>
                                  </w:divBdr>
                                  <w:divsChild>
                                    <w:div w:id="13326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634369">
      <w:marLeft w:val="0"/>
      <w:marRight w:val="0"/>
      <w:marTop w:val="0"/>
      <w:marBottom w:val="0"/>
      <w:divBdr>
        <w:top w:val="none" w:sz="0" w:space="0" w:color="auto"/>
        <w:left w:val="none" w:sz="0" w:space="0" w:color="auto"/>
        <w:bottom w:val="none" w:sz="0" w:space="0" w:color="auto"/>
        <w:right w:val="none" w:sz="0" w:space="0" w:color="auto"/>
      </w:divBdr>
      <w:divsChild>
        <w:div w:id="1332634353">
          <w:marLeft w:val="0"/>
          <w:marRight w:val="0"/>
          <w:marTop w:val="0"/>
          <w:marBottom w:val="0"/>
          <w:divBdr>
            <w:top w:val="none" w:sz="0" w:space="0" w:color="auto"/>
            <w:left w:val="none" w:sz="0" w:space="0" w:color="auto"/>
            <w:bottom w:val="none" w:sz="0" w:space="0" w:color="auto"/>
            <w:right w:val="none" w:sz="0" w:space="0" w:color="auto"/>
          </w:divBdr>
        </w:div>
      </w:divsChild>
    </w:div>
    <w:div w:id="1332634373">
      <w:marLeft w:val="0"/>
      <w:marRight w:val="0"/>
      <w:marTop w:val="0"/>
      <w:marBottom w:val="0"/>
      <w:divBdr>
        <w:top w:val="none" w:sz="0" w:space="0" w:color="auto"/>
        <w:left w:val="none" w:sz="0" w:space="0" w:color="auto"/>
        <w:bottom w:val="none" w:sz="0" w:space="0" w:color="auto"/>
        <w:right w:val="none" w:sz="0" w:space="0" w:color="auto"/>
      </w:divBdr>
    </w:div>
    <w:div w:id="1332634374">
      <w:marLeft w:val="0"/>
      <w:marRight w:val="0"/>
      <w:marTop w:val="0"/>
      <w:marBottom w:val="0"/>
      <w:divBdr>
        <w:top w:val="none" w:sz="0" w:space="0" w:color="auto"/>
        <w:left w:val="none" w:sz="0" w:space="0" w:color="auto"/>
        <w:bottom w:val="none" w:sz="0" w:space="0" w:color="auto"/>
        <w:right w:val="none" w:sz="0" w:space="0" w:color="auto"/>
      </w:divBdr>
    </w:div>
    <w:div w:id="1332634380">
      <w:marLeft w:val="0"/>
      <w:marRight w:val="0"/>
      <w:marTop w:val="0"/>
      <w:marBottom w:val="0"/>
      <w:divBdr>
        <w:top w:val="none" w:sz="0" w:space="0" w:color="auto"/>
        <w:left w:val="none" w:sz="0" w:space="0" w:color="auto"/>
        <w:bottom w:val="none" w:sz="0" w:space="0" w:color="auto"/>
        <w:right w:val="none" w:sz="0" w:space="0" w:color="auto"/>
      </w:divBdr>
      <w:divsChild>
        <w:div w:id="1332634401">
          <w:marLeft w:val="0"/>
          <w:marRight w:val="0"/>
          <w:marTop w:val="0"/>
          <w:marBottom w:val="0"/>
          <w:divBdr>
            <w:top w:val="none" w:sz="0" w:space="0" w:color="auto"/>
            <w:left w:val="none" w:sz="0" w:space="0" w:color="auto"/>
            <w:bottom w:val="none" w:sz="0" w:space="0" w:color="auto"/>
            <w:right w:val="none" w:sz="0" w:space="0" w:color="auto"/>
          </w:divBdr>
        </w:div>
      </w:divsChild>
    </w:div>
    <w:div w:id="1332634382">
      <w:marLeft w:val="0"/>
      <w:marRight w:val="0"/>
      <w:marTop w:val="0"/>
      <w:marBottom w:val="0"/>
      <w:divBdr>
        <w:top w:val="none" w:sz="0" w:space="0" w:color="auto"/>
        <w:left w:val="none" w:sz="0" w:space="0" w:color="auto"/>
        <w:bottom w:val="none" w:sz="0" w:space="0" w:color="auto"/>
        <w:right w:val="none" w:sz="0" w:space="0" w:color="auto"/>
      </w:divBdr>
    </w:div>
    <w:div w:id="1332634383">
      <w:marLeft w:val="0"/>
      <w:marRight w:val="0"/>
      <w:marTop w:val="0"/>
      <w:marBottom w:val="0"/>
      <w:divBdr>
        <w:top w:val="none" w:sz="0" w:space="0" w:color="auto"/>
        <w:left w:val="none" w:sz="0" w:space="0" w:color="auto"/>
        <w:bottom w:val="none" w:sz="0" w:space="0" w:color="auto"/>
        <w:right w:val="none" w:sz="0" w:space="0" w:color="auto"/>
      </w:divBdr>
      <w:divsChild>
        <w:div w:id="1332634376">
          <w:marLeft w:val="0"/>
          <w:marRight w:val="0"/>
          <w:marTop w:val="0"/>
          <w:marBottom w:val="0"/>
          <w:divBdr>
            <w:top w:val="none" w:sz="0" w:space="0" w:color="auto"/>
            <w:left w:val="none" w:sz="0" w:space="0" w:color="auto"/>
            <w:bottom w:val="none" w:sz="0" w:space="0" w:color="auto"/>
            <w:right w:val="none" w:sz="0" w:space="0" w:color="auto"/>
          </w:divBdr>
          <w:divsChild>
            <w:div w:id="1332634404">
              <w:marLeft w:val="0"/>
              <w:marRight w:val="0"/>
              <w:marTop w:val="0"/>
              <w:marBottom w:val="0"/>
              <w:divBdr>
                <w:top w:val="none" w:sz="0" w:space="0" w:color="auto"/>
                <w:left w:val="none" w:sz="0" w:space="0" w:color="auto"/>
                <w:bottom w:val="none" w:sz="0" w:space="0" w:color="auto"/>
                <w:right w:val="none" w:sz="0" w:space="0" w:color="auto"/>
              </w:divBdr>
              <w:divsChild>
                <w:div w:id="1332634356">
                  <w:marLeft w:val="0"/>
                  <w:marRight w:val="0"/>
                  <w:marTop w:val="0"/>
                  <w:marBottom w:val="0"/>
                  <w:divBdr>
                    <w:top w:val="none" w:sz="0" w:space="0" w:color="auto"/>
                    <w:left w:val="none" w:sz="0" w:space="0" w:color="auto"/>
                    <w:bottom w:val="none" w:sz="0" w:space="0" w:color="auto"/>
                    <w:right w:val="none" w:sz="0" w:space="0" w:color="auto"/>
                  </w:divBdr>
                  <w:divsChild>
                    <w:div w:id="1332634350">
                      <w:marLeft w:val="150"/>
                      <w:marRight w:val="0"/>
                      <w:marTop w:val="0"/>
                      <w:marBottom w:val="0"/>
                      <w:divBdr>
                        <w:top w:val="none" w:sz="0" w:space="0" w:color="auto"/>
                        <w:left w:val="none" w:sz="0" w:space="0" w:color="auto"/>
                        <w:bottom w:val="none" w:sz="0" w:space="0" w:color="auto"/>
                        <w:right w:val="none" w:sz="0" w:space="0" w:color="auto"/>
                      </w:divBdr>
                      <w:divsChild>
                        <w:div w:id="1332634389">
                          <w:marLeft w:val="0"/>
                          <w:marRight w:val="0"/>
                          <w:marTop w:val="0"/>
                          <w:marBottom w:val="150"/>
                          <w:divBdr>
                            <w:top w:val="none" w:sz="0" w:space="0" w:color="auto"/>
                            <w:left w:val="none" w:sz="0" w:space="0" w:color="auto"/>
                            <w:bottom w:val="none" w:sz="0" w:space="0" w:color="auto"/>
                            <w:right w:val="none" w:sz="0" w:space="0" w:color="auto"/>
                          </w:divBdr>
                          <w:divsChild>
                            <w:div w:id="1332634400">
                              <w:marLeft w:val="0"/>
                              <w:marRight w:val="0"/>
                              <w:marTop w:val="0"/>
                              <w:marBottom w:val="0"/>
                              <w:divBdr>
                                <w:top w:val="none" w:sz="0" w:space="0" w:color="auto"/>
                                <w:left w:val="none" w:sz="0" w:space="0" w:color="auto"/>
                                <w:bottom w:val="none" w:sz="0" w:space="0" w:color="auto"/>
                                <w:right w:val="none" w:sz="0" w:space="0" w:color="auto"/>
                              </w:divBdr>
                              <w:divsChild>
                                <w:div w:id="1332634370">
                                  <w:marLeft w:val="0"/>
                                  <w:marRight w:val="0"/>
                                  <w:marTop w:val="0"/>
                                  <w:marBottom w:val="0"/>
                                  <w:divBdr>
                                    <w:top w:val="none" w:sz="0" w:space="0" w:color="auto"/>
                                    <w:left w:val="none" w:sz="0" w:space="0" w:color="auto"/>
                                    <w:bottom w:val="none" w:sz="0" w:space="0" w:color="auto"/>
                                    <w:right w:val="none" w:sz="0" w:space="0" w:color="auto"/>
                                  </w:divBdr>
                                  <w:divsChild>
                                    <w:div w:id="13326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634386">
      <w:marLeft w:val="0"/>
      <w:marRight w:val="0"/>
      <w:marTop w:val="0"/>
      <w:marBottom w:val="0"/>
      <w:divBdr>
        <w:top w:val="none" w:sz="0" w:space="0" w:color="auto"/>
        <w:left w:val="none" w:sz="0" w:space="0" w:color="auto"/>
        <w:bottom w:val="none" w:sz="0" w:space="0" w:color="auto"/>
        <w:right w:val="none" w:sz="0" w:space="0" w:color="auto"/>
      </w:divBdr>
      <w:divsChild>
        <w:div w:id="1332634396">
          <w:marLeft w:val="0"/>
          <w:marRight w:val="0"/>
          <w:marTop w:val="0"/>
          <w:marBottom w:val="0"/>
          <w:divBdr>
            <w:top w:val="none" w:sz="0" w:space="0" w:color="auto"/>
            <w:left w:val="none" w:sz="0" w:space="0" w:color="auto"/>
            <w:bottom w:val="none" w:sz="0" w:space="0" w:color="auto"/>
            <w:right w:val="none" w:sz="0" w:space="0" w:color="auto"/>
          </w:divBdr>
        </w:div>
      </w:divsChild>
    </w:div>
    <w:div w:id="1332634388">
      <w:marLeft w:val="0"/>
      <w:marRight w:val="0"/>
      <w:marTop w:val="0"/>
      <w:marBottom w:val="0"/>
      <w:divBdr>
        <w:top w:val="none" w:sz="0" w:space="0" w:color="auto"/>
        <w:left w:val="none" w:sz="0" w:space="0" w:color="auto"/>
        <w:bottom w:val="none" w:sz="0" w:space="0" w:color="auto"/>
        <w:right w:val="none" w:sz="0" w:space="0" w:color="auto"/>
      </w:divBdr>
      <w:divsChild>
        <w:div w:id="1332634367">
          <w:marLeft w:val="0"/>
          <w:marRight w:val="0"/>
          <w:marTop w:val="0"/>
          <w:marBottom w:val="0"/>
          <w:divBdr>
            <w:top w:val="none" w:sz="0" w:space="0" w:color="auto"/>
            <w:left w:val="none" w:sz="0" w:space="0" w:color="auto"/>
            <w:bottom w:val="none" w:sz="0" w:space="0" w:color="auto"/>
            <w:right w:val="none" w:sz="0" w:space="0" w:color="auto"/>
          </w:divBdr>
          <w:divsChild>
            <w:div w:id="1332634359">
              <w:marLeft w:val="0"/>
              <w:marRight w:val="0"/>
              <w:marTop w:val="0"/>
              <w:marBottom w:val="0"/>
              <w:divBdr>
                <w:top w:val="none" w:sz="0" w:space="0" w:color="auto"/>
                <w:left w:val="none" w:sz="0" w:space="0" w:color="auto"/>
                <w:bottom w:val="none" w:sz="0" w:space="0" w:color="auto"/>
                <w:right w:val="none" w:sz="0" w:space="0" w:color="auto"/>
              </w:divBdr>
              <w:divsChild>
                <w:div w:id="1332634379">
                  <w:marLeft w:val="0"/>
                  <w:marRight w:val="0"/>
                  <w:marTop w:val="0"/>
                  <w:marBottom w:val="0"/>
                  <w:divBdr>
                    <w:top w:val="none" w:sz="0" w:space="0" w:color="auto"/>
                    <w:left w:val="none" w:sz="0" w:space="0" w:color="auto"/>
                    <w:bottom w:val="none" w:sz="0" w:space="0" w:color="auto"/>
                    <w:right w:val="none" w:sz="0" w:space="0" w:color="auto"/>
                  </w:divBdr>
                  <w:divsChild>
                    <w:div w:id="1332634395">
                      <w:marLeft w:val="150"/>
                      <w:marRight w:val="0"/>
                      <w:marTop w:val="0"/>
                      <w:marBottom w:val="0"/>
                      <w:divBdr>
                        <w:top w:val="none" w:sz="0" w:space="0" w:color="auto"/>
                        <w:left w:val="none" w:sz="0" w:space="0" w:color="auto"/>
                        <w:bottom w:val="none" w:sz="0" w:space="0" w:color="auto"/>
                        <w:right w:val="none" w:sz="0" w:space="0" w:color="auto"/>
                      </w:divBdr>
                      <w:divsChild>
                        <w:div w:id="1332634391">
                          <w:marLeft w:val="0"/>
                          <w:marRight w:val="0"/>
                          <w:marTop w:val="0"/>
                          <w:marBottom w:val="150"/>
                          <w:divBdr>
                            <w:top w:val="none" w:sz="0" w:space="0" w:color="auto"/>
                            <w:left w:val="none" w:sz="0" w:space="0" w:color="auto"/>
                            <w:bottom w:val="none" w:sz="0" w:space="0" w:color="auto"/>
                            <w:right w:val="none" w:sz="0" w:space="0" w:color="auto"/>
                          </w:divBdr>
                          <w:divsChild>
                            <w:div w:id="1332634346">
                              <w:marLeft w:val="0"/>
                              <w:marRight w:val="0"/>
                              <w:marTop w:val="0"/>
                              <w:marBottom w:val="0"/>
                              <w:divBdr>
                                <w:top w:val="none" w:sz="0" w:space="0" w:color="auto"/>
                                <w:left w:val="none" w:sz="0" w:space="0" w:color="auto"/>
                                <w:bottom w:val="none" w:sz="0" w:space="0" w:color="auto"/>
                                <w:right w:val="none" w:sz="0" w:space="0" w:color="auto"/>
                              </w:divBdr>
                              <w:divsChild>
                                <w:div w:id="1332634378">
                                  <w:marLeft w:val="0"/>
                                  <w:marRight w:val="0"/>
                                  <w:marTop w:val="0"/>
                                  <w:marBottom w:val="0"/>
                                  <w:divBdr>
                                    <w:top w:val="none" w:sz="0" w:space="0" w:color="auto"/>
                                    <w:left w:val="none" w:sz="0" w:space="0" w:color="auto"/>
                                    <w:bottom w:val="none" w:sz="0" w:space="0" w:color="auto"/>
                                    <w:right w:val="none" w:sz="0" w:space="0" w:color="auto"/>
                                  </w:divBdr>
                                  <w:divsChild>
                                    <w:div w:id="13326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634390">
      <w:marLeft w:val="0"/>
      <w:marRight w:val="0"/>
      <w:marTop w:val="0"/>
      <w:marBottom w:val="0"/>
      <w:divBdr>
        <w:top w:val="none" w:sz="0" w:space="0" w:color="auto"/>
        <w:left w:val="none" w:sz="0" w:space="0" w:color="auto"/>
        <w:bottom w:val="none" w:sz="0" w:space="0" w:color="auto"/>
        <w:right w:val="none" w:sz="0" w:space="0" w:color="auto"/>
      </w:divBdr>
    </w:div>
    <w:div w:id="1332634397">
      <w:marLeft w:val="0"/>
      <w:marRight w:val="0"/>
      <w:marTop w:val="0"/>
      <w:marBottom w:val="0"/>
      <w:divBdr>
        <w:top w:val="none" w:sz="0" w:space="0" w:color="auto"/>
        <w:left w:val="none" w:sz="0" w:space="0" w:color="auto"/>
        <w:bottom w:val="none" w:sz="0" w:space="0" w:color="auto"/>
        <w:right w:val="none" w:sz="0" w:space="0" w:color="auto"/>
      </w:divBdr>
    </w:div>
    <w:div w:id="1332634398">
      <w:marLeft w:val="0"/>
      <w:marRight w:val="0"/>
      <w:marTop w:val="0"/>
      <w:marBottom w:val="0"/>
      <w:divBdr>
        <w:top w:val="none" w:sz="0" w:space="0" w:color="auto"/>
        <w:left w:val="none" w:sz="0" w:space="0" w:color="auto"/>
        <w:bottom w:val="none" w:sz="0" w:space="0" w:color="auto"/>
        <w:right w:val="none" w:sz="0" w:space="0" w:color="auto"/>
      </w:divBdr>
      <w:divsChild>
        <w:div w:id="1332634399">
          <w:marLeft w:val="0"/>
          <w:marRight w:val="0"/>
          <w:marTop w:val="0"/>
          <w:marBottom w:val="0"/>
          <w:divBdr>
            <w:top w:val="none" w:sz="0" w:space="0" w:color="auto"/>
            <w:left w:val="none" w:sz="0" w:space="0" w:color="auto"/>
            <w:bottom w:val="none" w:sz="0" w:space="0" w:color="auto"/>
            <w:right w:val="none" w:sz="0" w:space="0" w:color="auto"/>
          </w:divBdr>
        </w:div>
      </w:divsChild>
    </w:div>
    <w:div w:id="1332634402">
      <w:marLeft w:val="0"/>
      <w:marRight w:val="0"/>
      <w:marTop w:val="0"/>
      <w:marBottom w:val="0"/>
      <w:divBdr>
        <w:top w:val="none" w:sz="0" w:space="0" w:color="auto"/>
        <w:left w:val="none" w:sz="0" w:space="0" w:color="auto"/>
        <w:bottom w:val="none" w:sz="0" w:space="0" w:color="auto"/>
        <w:right w:val="none" w:sz="0" w:space="0" w:color="auto"/>
      </w:divBdr>
    </w:div>
    <w:div w:id="1332634403">
      <w:marLeft w:val="0"/>
      <w:marRight w:val="0"/>
      <w:marTop w:val="0"/>
      <w:marBottom w:val="0"/>
      <w:divBdr>
        <w:top w:val="none" w:sz="0" w:space="0" w:color="auto"/>
        <w:left w:val="none" w:sz="0" w:space="0" w:color="auto"/>
        <w:bottom w:val="none" w:sz="0" w:space="0" w:color="auto"/>
        <w:right w:val="none" w:sz="0" w:space="0" w:color="auto"/>
      </w:divBdr>
    </w:div>
    <w:div w:id="13326344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4269</TotalTime>
  <Pages>7</Pages>
  <Words>1045</Words>
  <Characters>5958</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2015-06-10T06:23:00Z</dcterms:created>
  <dc:creator>shiyj</dc:creator>
  <lastModifiedBy>417</lastModifiedBy>
  <dcterms:modified xsi:type="dcterms:W3CDTF">2017-09-21T02:43:00Z</dcterms:modified>
  <revision>182</revision>
</coreProperties>
</file>