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ascii="Times New Roman" w:hAnsi="Times New Roman" w:eastAsia="黑体" w:cs="Times New Roman"/>
          <w:sz w:val="36"/>
          <w:szCs w:val="36"/>
        </w:rPr>
      </w:pPr>
      <w:r>
        <w:rPr>
          <w:rFonts w:ascii="Times New Roman" w:hAnsi="Times New Roman" w:eastAsia="黑体" w:cs="Times New Roman"/>
          <w:sz w:val="36"/>
          <w:szCs w:val="36"/>
        </w:rPr>
        <w:t>城市转型发展要念好“三本经”</w:t>
      </w:r>
    </w:p>
    <w:p>
      <w:pPr>
        <w:spacing w:line="620" w:lineRule="exact"/>
        <w:jc w:val="center"/>
        <w:rPr>
          <w:rFonts w:ascii="Times New Roman" w:hAnsi="Times New Roman" w:eastAsia="黑体" w:cs="Times New Roman"/>
          <w:sz w:val="32"/>
          <w:szCs w:val="32"/>
        </w:rPr>
      </w:pPr>
      <w:r>
        <w:rPr>
          <w:rFonts w:hint="eastAsia" w:ascii="Times New Roman" w:hAnsi="Times New Roman" w:eastAsia="黑体" w:cs="Times New Roman"/>
          <w:sz w:val="32"/>
          <w:szCs w:val="32"/>
        </w:rPr>
        <w:t>——重温习近平同志调研三市重要指示精神</w:t>
      </w:r>
    </w:p>
    <w:p>
      <w:pPr>
        <w:spacing w:line="620" w:lineRule="exact"/>
        <w:jc w:val="center"/>
        <w:rPr>
          <w:rFonts w:ascii="Times New Roman" w:hAnsi="Times New Roman" w:eastAsia="楷体" w:cs="Times New Roman"/>
          <w:sz w:val="30"/>
          <w:szCs w:val="30"/>
        </w:rPr>
      </w:pPr>
      <w:r>
        <w:rPr>
          <w:rFonts w:ascii="Times New Roman" w:hAnsi="Times New Roman" w:eastAsia="楷体" w:cs="Times New Roman"/>
          <w:sz w:val="30"/>
          <w:szCs w:val="30"/>
        </w:rPr>
        <w:t>曹 昊</w:t>
      </w:r>
      <w:r>
        <w:rPr>
          <w:rStyle w:val="10"/>
          <w:rFonts w:ascii="Times New Roman" w:hAnsi="Times New Roman" w:eastAsia="楷体" w:cs="Times New Roman"/>
          <w:sz w:val="30"/>
          <w:szCs w:val="30"/>
        </w:rPr>
        <w:footnoteReference w:id="0"/>
      </w:r>
    </w:p>
    <w:p>
      <w:pPr>
        <w:spacing w:line="620" w:lineRule="exact"/>
        <w:jc w:val="center"/>
        <w:rPr>
          <w:rFonts w:ascii="Times New Roman" w:hAnsi="Times New Roman" w:eastAsia="楷体" w:cs="Times New Roman"/>
          <w:sz w:val="30"/>
          <w:szCs w:val="30"/>
        </w:rPr>
      </w:pPr>
      <w:r>
        <w:rPr>
          <w:rFonts w:ascii="Times New Roman" w:hAnsi="Times New Roman" w:eastAsia="楷体" w:cs="Times New Roman"/>
          <w:sz w:val="30"/>
          <w:szCs w:val="30"/>
        </w:rPr>
        <w:t>（中共中央党校国家行政学院，北京，100091）</w:t>
      </w:r>
    </w:p>
    <w:p>
      <w:pPr>
        <w:spacing w:line="620" w:lineRule="exact"/>
        <w:jc w:val="center"/>
        <w:rPr>
          <w:rFonts w:ascii="Times New Roman" w:hAnsi="Times New Roman" w:cs="Times New Roman"/>
          <w:sz w:val="30"/>
          <w:szCs w:val="30"/>
        </w:rPr>
      </w:pPr>
    </w:p>
    <w:p>
      <w:pPr>
        <w:spacing w:line="620" w:lineRule="exact"/>
        <w:rPr>
          <w:rFonts w:ascii="Times New Roman" w:hAnsi="Times New Roman" w:cs="Times New Roman"/>
          <w:sz w:val="30"/>
          <w:szCs w:val="30"/>
        </w:rPr>
      </w:pPr>
      <w:r>
        <w:rPr>
          <w:rFonts w:ascii="Times New Roman" w:hAnsi="Times New Roman" w:cs="Times New Roman"/>
          <w:sz w:val="30"/>
          <w:szCs w:val="30"/>
        </w:rPr>
        <w:t>【摘要】</w:t>
      </w:r>
      <w:r>
        <w:rPr>
          <w:rFonts w:hint="eastAsia" w:ascii="Times New Roman" w:hAnsi="Times New Roman" w:cs="Times New Roman"/>
          <w:sz w:val="30"/>
          <w:szCs w:val="30"/>
        </w:rPr>
        <w:t xml:space="preserve"> </w:t>
      </w:r>
      <w:r>
        <w:rPr>
          <w:rFonts w:ascii="Times New Roman" w:hAnsi="Times New Roman" w:cs="Times New Roman"/>
          <w:sz w:val="30"/>
          <w:szCs w:val="30"/>
        </w:rPr>
        <w:t>城市转型怎么转？方向、尺度、动力在哪里？对于这些问题的回答，关乎我们对城市本质和城市化进程的深入思考。重温习近平同志在地方和中央工作期间关于城市发展的重要论述，有助于为我们拨开思想迷雾、指明前进路径，从而进一步树牢科学的发展理念。本文采用个案分析的方法，选取习近平同志</w:t>
      </w:r>
      <w:r>
        <w:rPr>
          <w:rFonts w:hint="eastAsia" w:ascii="Times New Roman" w:hAnsi="Times New Roman" w:cs="Times New Roman"/>
          <w:sz w:val="30"/>
          <w:szCs w:val="30"/>
        </w:rPr>
        <w:t>曾</w:t>
      </w:r>
      <w:r>
        <w:rPr>
          <w:rFonts w:ascii="Times New Roman" w:hAnsi="Times New Roman" w:cs="Times New Roman"/>
          <w:sz w:val="30"/>
          <w:szCs w:val="30"/>
        </w:rPr>
        <w:t>重点视察过的三座城</w:t>
      </w:r>
      <w:r>
        <w:rPr>
          <w:rFonts w:hint="eastAsia" w:ascii="Times New Roman" w:hAnsi="Times New Roman" w:cs="Times New Roman"/>
          <w:sz w:val="30"/>
          <w:szCs w:val="30"/>
        </w:rPr>
        <w:t>市</w:t>
      </w:r>
      <w:r>
        <w:rPr>
          <w:rFonts w:ascii="Times New Roman" w:hAnsi="Times New Roman" w:cs="Times New Roman"/>
          <w:sz w:val="30"/>
          <w:szCs w:val="30"/>
        </w:rPr>
        <w:t>作为</w:t>
      </w:r>
      <w:r>
        <w:rPr>
          <w:rFonts w:hint="eastAsia" w:ascii="Times New Roman" w:hAnsi="Times New Roman" w:cs="Times New Roman"/>
          <w:sz w:val="30"/>
          <w:szCs w:val="30"/>
        </w:rPr>
        <w:t>调研</w:t>
      </w:r>
      <w:r>
        <w:rPr>
          <w:rFonts w:ascii="Times New Roman" w:hAnsi="Times New Roman" w:cs="Times New Roman"/>
          <w:sz w:val="30"/>
          <w:szCs w:val="30"/>
        </w:rPr>
        <w:t>分析对象，力求通过它们的发展历程揭示几条可资借鉴的经验。</w:t>
      </w:r>
    </w:p>
    <w:p>
      <w:pPr>
        <w:spacing w:line="620" w:lineRule="exact"/>
        <w:rPr>
          <w:rFonts w:ascii="Times New Roman" w:hAnsi="Times New Roman" w:cs="Times New Roman"/>
          <w:sz w:val="30"/>
          <w:szCs w:val="30"/>
        </w:rPr>
      </w:pPr>
      <w:r>
        <w:rPr>
          <w:rFonts w:ascii="Times New Roman" w:hAnsi="Times New Roman" w:cs="Times New Roman"/>
          <w:sz w:val="30"/>
          <w:szCs w:val="30"/>
        </w:rPr>
        <w:t>【关键词】</w:t>
      </w:r>
      <w:r>
        <w:rPr>
          <w:rFonts w:hint="eastAsia" w:ascii="Times New Roman" w:hAnsi="Times New Roman" w:cs="Times New Roman"/>
          <w:sz w:val="30"/>
          <w:szCs w:val="30"/>
        </w:rPr>
        <w:t xml:space="preserve"> </w:t>
      </w:r>
      <w:r>
        <w:rPr>
          <w:rFonts w:ascii="Times New Roman" w:hAnsi="Times New Roman" w:cs="Times New Roman"/>
          <w:sz w:val="30"/>
          <w:szCs w:val="30"/>
        </w:rPr>
        <w:t>城市</w:t>
      </w:r>
      <w:r>
        <w:rPr>
          <w:rFonts w:hint="eastAsia" w:ascii="Times New Roman" w:hAnsi="Times New Roman" w:cs="Times New Roman"/>
          <w:sz w:val="30"/>
          <w:szCs w:val="30"/>
          <w:lang w:eastAsia="zh-CN"/>
        </w:rPr>
        <w:t>；</w:t>
      </w:r>
      <w:r>
        <w:rPr>
          <w:rFonts w:ascii="Times New Roman" w:hAnsi="Times New Roman" w:cs="Times New Roman"/>
          <w:sz w:val="30"/>
          <w:szCs w:val="30"/>
        </w:rPr>
        <w:t>转型</w:t>
      </w:r>
      <w:r>
        <w:rPr>
          <w:rFonts w:hint="eastAsia" w:ascii="Times New Roman" w:hAnsi="Times New Roman" w:cs="Times New Roman"/>
          <w:sz w:val="30"/>
          <w:szCs w:val="30"/>
          <w:lang w:eastAsia="zh-CN"/>
        </w:rPr>
        <w:t>；</w:t>
      </w:r>
      <w:r>
        <w:rPr>
          <w:rFonts w:ascii="Times New Roman" w:hAnsi="Times New Roman" w:cs="Times New Roman"/>
          <w:sz w:val="30"/>
          <w:szCs w:val="30"/>
        </w:rPr>
        <w:t>经验</w:t>
      </w:r>
    </w:p>
    <w:p>
      <w:pPr>
        <w:spacing w:line="620" w:lineRule="exact"/>
        <w:rPr>
          <w:rFonts w:ascii="Times New Roman" w:hAnsi="Times New Roman" w:cs="Times New Roman"/>
          <w:sz w:val="36"/>
          <w:szCs w:val="36"/>
        </w:rPr>
      </w:pPr>
      <w:r>
        <w:rPr>
          <w:rFonts w:ascii="Times New Roman" w:hAnsi="Times New Roman" w:cs="Times New Roman"/>
          <w:sz w:val="30"/>
          <w:szCs w:val="30"/>
        </w:rPr>
        <w:t xml:space="preserve">【中图分类号】    </w:t>
      </w:r>
      <w:r>
        <w:rPr>
          <w:rFonts w:hint="eastAsia" w:ascii="Times New Roman" w:hAnsi="Times New Roman" w:cs="Times New Roman"/>
          <w:sz w:val="30"/>
          <w:szCs w:val="30"/>
        </w:rPr>
        <w:t xml:space="preserve"> </w:t>
      </w:r>
      <w:r>
        <w:rPr>
          <w:rFonts w:ascii="Times New Roman" w:hAnsi="Times New Roman" w:cs="Times New Roman"/>
          <w:sz w:val="30"/>
          <w:szCs w:val="30"/>
        </w:rPr>
        <w:t>【文献标识码】</w:t>
      </w:r>
      <w:r>
        <w:rPr>
          <w:rFonts w:hint="eastAsia" w:ascii="Times New Roman" w:hAnsi="Times New Roman" w:cs="Times New Roman"/>
          <w:sz w:val="30"/>
          <w:szCs w:val="30"/>
        </w:rPr>
        <w:t xml:space="preserve">     </w:t>
      </w:r>
      <w:r>
        <w:rPr>
          <w:rFonts w:ascii="Times New Roman" w:hAnsi="Times New Roman" w:cs="Times New Roman"/>
          <w:sz w:val="30"/>
          <w:szCs w:val="30"/>
        </w:rPr>
        <w:t>【</w:t>
      </w:r>
      <w:r>
        <w:rPr>
          <w:rFonts w:hint="eastAsia" w:ascii="Times New Roman" w:hAnsi="Times New Roman" w:cs="Times New Roman"/>
          <w:sz w:val="30"/>
          <w:szCs w:val="30"/>
        </w:rPr>
        <w:t>文章编号</w:t>
      </w:r>
      <w:r>
        <w:rPr>
          <w:rFonts w:ascii="Times New Roman" w:hAnsi="Times New Roman" w:cs="Times New Roman"/>
          <w:sz w:val="30"/>
          <w:szCs w:val="30"/>
        </w:rPr>
        <w:t>】</w:t>
      </w:r>
    </w:p>
    <w:p>
      <w:pPr>
        <w:spacing w:line="620" w:lineRule="exact"/>
        <w:rPr>
          <w:rFonts w:ascii="Times New Roman" w:hAnsi="Times New Roman" w:cs="Times New Roman"/>
          <w:sz w:val="32"/>
          <w:szCs w:val="32"/>
        </w:rPr>
      </w:pPr>
    </w:p>
    <w:p>
      <w:pPr>
        <w:spacing w:line="620" w:lineRule="exact"/>
        <w:ind w:firstLine="640" w:firstLineChars="200"/>
        <w:rPr>
          <w:rFonts w:ascii="Times New Roman" w:hAnsi="Times New Roman" w:cs="Times New Roman"/>
          <w:sz w:val="32"/>
          <w:szCs w:val="32"/>
        </w:rPr>
      </w:pPr>
      <w:r>
        <w:rPr>
          <w:rFonts w:ascii="Times New Roman" w:hAnsi="Times New Roman" w:cs="Times New Roman"/>
          <w:sz w:val="32"/>
          <w:szCs w:val="32"/>
        </w:rPr>
        <w:t>城市转型发展有自身的内在规律和原则遵循。重温习近平同志在地方和中央工作期间关于城市发展的系列重要论述，对于我们为所属不同类型、所处不同阶段的城市找准发展的定位和方向，具有十分重要的指导意义。这里重点选取习近平同志在福建工作期间曾7次调研过的泉州市、在浙江工作期间实地提出“两山”思想的湖州市、党的十九大后首个国内考察目的地徐州市作为调研分析样板，力求解剖麻雀，尝试揭示关于城市建设发展的三条至为关键的经验。</w:t>
      </w:r>
    </w:p>
    <w:p>
      <w:pPr>
        <w:spacing w:line="62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从 “湖州模式”看城市发展的“舍得经”</w:t>
      </w:r>
    </w:p>
    <w:p>
      <w:pPr>
        <w:spacing w:line="620" w:lineRule="exact"/>
        <w:ind w:firstLine="640" w:firstLineChars="200"/>
        <w:rPr>
          <w:rFonts w:ascii="Times New Roman" w:hAnsi="Times New Roman" w:cs="Times New Roman"/>
          <w:sz w:val="32"/>
          <w:szCs w:val="32"/>
        </w:rPr>
      </w:pPr>
      <w:r>
        <w:rPr>
          <w:rFonts w:ascii="Times New Roman" w:hAnsi="Times New Roman" w:cs="Times New Roman"/>
          <w:sz w:val="32"/>
          <w:szCs w:val="32"/>
        </w:rPr>
        <w:t>城市转型发展贵在有舍有得、舍中见得，切不可孤立地、静态地看待舍与得的关系。在这方面，湖州经验具有典型启发意义。2005年8月，时任浙江省委书记的习近平同志在湖州安吉县调研，首次提出 “绿水青山就是金山银山”的重要思想。时隔一年，他在湖州考察南太湖开发治理，再次强调“绿水青山就是金山银山”。由此，湖州成为了“两山”思想的诞生地。“两山”思想内涵丰富，其中一个很重要的理解维度，就在于它生动道明了城市发展舍与得的关系。</w:t>
      </w:r>
    </w:p>
    <w:p>
      <w:pPr>
        <w:spacing w:line="620" w:lineRule="exact"/>
        <w:ind w:firstLine="640" w:firstLineChars="200"/>
        <w:rPr>
          <w:rFonts w:ascii="Times New Roman" w:hAnsi="Times New Roman" w:cs="Times New Roman"/>
          <w:sz w:val="32"/>
          <w:szCs w:val="32"/>
        </w:rPr>
      </w:pPr>
      <w:r>
        <w:rPr>
          <w:rFonts w:ascii="Times New Roman" w:hAnsi="Times New Roman" w:cs="Times New Roman"/>
          <w:sz w:val="32"/>
          <w:szCs w:val="32"/>
        </w:rPr>
        <w:t>作为一块宜居佳地，湖州历来因良好的自然生态禀赋备受称道。元代诗人戴表元曾赞美湖州“行遍江南清丽地，人生只合住湖州”。然而，曾经一个时期里，这个太湖沿岸唯一一座以湖命名的城市，也因南太湖严重的水污染问题而感到很不轻松。来自电池、印染、制革等高耗能高污染的传统行业影响，让即便厚实的生态本底也略显脆弱，转型发展成为湖州的必然选择。在“两山”理论的指导下，湖州坚持有所为有所不为，果断施行了绿色发展的“加减法”。</w:t>
      </w:r>
    </w:p>
    <w:p>
      <w:pPr>
        <w:spacing w:line="620" w:lineRule="exact"/>
        <w:ind w:firstLine="640" w:firstLineChars="200"/>
        <w:rPr>
          <w:rFonts w:ascii="Times New Roman" w:hAnsi="Times New Roman" w:cs="Times New Roman"/>
          <w:sz w:val="32"/>
          <w:szCs w:val="32"/>
        </w:rPr>
      </w:pPr>
      <w:r>
        <w:rPr>
          <w:rFonts w:ascii="Times New Roman" w:hAnsi="Times New Roman" w:cs="Times New Roman"/>
          <w:sz w:val="32"/>
          <w:szCs w:val="32"/>
        </w:rPr>
        <w:t>围绕着向绿挖潜，湖州深刻把握“退与进”的辩证法。德鲁克讲过，</w:t>
      </w:r>
      <w:r>
        <w:rPr>
          <w:rFonts w:hint="eastAsia" w:ascii="Times New Roman" w:hAnsi="Times New Roman" w:cs="Times New Roman"/>
          <w:sz w:val="32"/>
          <w:szCs w:val="32"/>
        </w:rPr>
        <w:t>所谓</w:t>
      </w:r>
      <w:r>
        <w:rPr>
          <w:rFonts w:ascii="Times New Roman" w:hAnsi="Times New Roman" w:cs="Times New Roman"/>
          <w:sz w:val="32"/>
          <w:szCs w:val="32"/>
        </w:rPr>
        <w:t>战略就是理性地放弃。有退有进、有舍有得，反映的正是城市发展的大智慧。比如，湖州对南太湖实施综合治理，该清退的坚决清退，经过10余年努力，上岸渔民数千人，退出工厂数百家，湖水水质明显改善，打造出一条靓丽风景线，带来的综合景观效益远超必要损失。又如，习近平同志当年调研过的安吉县余村，“两山”思想正是在这样一个经历过深刻蝶变的地方率先提出的。余村过去也曾办过罗子钨石矿、铜矿、灰窑、水泥厂等，这些产业一度对村庄生态环境造成不良影响，通过果断清退，坚持现实利益服从长远利益，大力恢复田园自然风貌，营造花海、竹海，发展特色旅游和农家乐，兴建村民文化广场等，使这里成为了践行和宣传“两山”思想的闪亮名片。</w:t>
      </w:r>
    </w:p>
    <w:p>
      <w:pPr>
        <w:spacing w:line="620" w:lineRule="exact"/>
        <w:ind w:firstLine="640" w:firstLineChars="200"/>
        <w:rPr>
          <w:rFonts w:ascii="Times New Roman" w:hAnsi="Times New Roman" w:cs="Times New Roman"/>
          <w:sz w:val="32"/>
          <w:szCs w:val="32"/>
        </w:rPr>
      </w:pPr>
      <w:r>
        <w:rPr>
          <w:rFonts w:ascii="Times New Roman" w:hAnsi="Times New Roman" w:cs="Times New Roman"/>
          <w:sz w:val="32"/>
          <w:szCs w:val="32"/>
        </w:rPr>
        <w:t>围绕着以绿为律，湖州着力提高地区发展的生态环保门槛。学会做减法是一个城市走向成熟的标志，它代表了人们开始以科学眼光审视城市、以历史的眼光为城市负责。湖州坚持用好“生态剪刀”，近年来累计否决</w:t>
      </w:r>
      <w:r>
        <w:rPr>
          <w:rFonts w:hint="eastAsia" w:ascii="Times New Roman" w:hAnsi="Times New Roman" w:cs="Times New Roman"/>
          <w:sz w:val="32"/>
          <w:szCs w:val="32"/>
        </w:rPr>
        <w:t>数百</w:t>
      </w:r>
      <w:r>
        <w:rPr>
          <w:rFonts w:ascii="Times New Roman" w:hAnsi="Times New Roman" w:cs="Times New Roman"/>
          <w:sz w:val="32"/>
          <w:szCs w:val="32"/>
        </w:rPr>
        <w:t>个不符合环保要求的项目，对存量产业中不符合标准的坚决整治或关停，以蓄电池行业为例，通过不间断的整治，企业数量砍掉90%，但是随之而来的是产值增长超过10倍、税收增长6倍</w:t>
      </w:r>
      <w:r>
        <w:rPr>
          <w:rFonts w:hint="eastAsia" w:ascii="Times New Roman" w:hAnsi="Times New Roman" w:cs="Times New Roman"/>
          <w:sz w:val="32"/>
          <w:szCs w:val="32"/>
        </w:rPr>
        <w:t>。</w:t>
      </w:r>
      <w:r>
        <w:rPr>
          <w:rFonts w:ascii="Times New Roman" w:hAnsi="Times New Roman" w:cs="Times New Roman"/>
          <w:sz w:val="32"/>
          <w:szCs w:val="32"/>
        </w:rPr>
        <w:t>建立健全“亩产效益”综合评价体系，并据此实行差别化水电地价政策，</w:t>
      </w:r>
      <w:r>
        <w:rPr>
          <w:rFonts w:hint="eastAsia" w:ascii="Times New Roman" w:hAnsi="Times New Roman" w:cs="Times New Roman"/>
          <w:sz w:val="32"/>
          <w:szCs w:val="32"/>
        </w:rPr>
        <w:t>湖州</w:t>
      </w:r>
      <w:r>
        <w:rPr>
          <w:rFonts w:ascii="Times New Roman" w:hAnsi="Times New Roman" w:cs="Times New Roman"/>
          <w:sz w:val="32"/>
          <w:szCs w:val="32"/>
        </w:rPr>
        <w:t>利用经济杠杆推动企业节能减排</w:t>
      </w:r>
      <w:r>
        <w:rPr>
          <w:rFonts w:hint="eastAsia" w:ascii="Times New Roman" w:hAnsi="Times New Roman" w:cs="Times New Roman"/>
          <w:sz w:val="32"/>
          <w:szCs w:val="32"/>
        </w:rPr>
        <w:t>，起到了四两拨千斤之效</w:t>
      </w:r>
      <w:r>
        <w:rPr>
          <w:rFonts w:ascii="Times New Roman" w:hAnsi="Times New Roman" w:cs="Times New Roman"/>
          <w:sz w:val="32"/>
          <w:szCs w:val="32"/>
        </w:rPr>
        <w:t>。</w:t>
      </w:r>
    </w:p>
    <w:p>
      <w:pPr>
        <w:spacing w:line="620" w:lineRule="exact"/>
        <w:ind w:firstLine="640" w:firstLineChars="200"/>
        <w:rPr>
          <w:rFonts w:ascii="Times New Roman" w:hAnsi="Times New Roman" w:cs="Times New Roman"/>
          <w:sz w:val="32"/>
          <w:szCs w:val="32"/>
        </w:rPr>
      </w:pPr>
      <w:r>
        <w:rPr>
          <w:rFonts w:ascii="Times New Roman" w:hAnsi="Times New Roman" w:cs="Times New Roman"/>
          <w:sz w:val="32"/>
          <w:szCs w:val="32"/>
        </w:rPr>
        <w:t>围绕着增添绿能，湖州坚持产业发展宁缺毋滥，大力发展“绿色智造”，深入实施“生态立市、工业强市”战略。如今的城市发展，早已告别过去那种“</w:t>
      </w:r>
      <w:r>
        <w:rPr>
          <w:rFonts w:hint="eastAsia" w:ascii="Times New Roman" w:hAnsi="Times New Roman" w:cs="Times New Roman"/>
          <w:sz w:val="32"/>
          <w:szCs w:val="32"/>
        </w:rPr>
        <w:t>抛</w:t>
      </w:r>
      <w:r>
        <w:rPr>
          <w:rFonts w:ascii="Times New Roman" w:hAnsi="Times New Roman" w:cs="Times New Roman"/>
          <w:sz w:val="32"/>
          <w:szCs w:val="32"/>
        </w:rPr>
        <w:t>个果核就长树”的时代，要</w:t>
      </w:r>
      <w:r>
        <w:rPr>
          <w:rFonts w:hint="eastAsia" w:ascii="Times New Roman" w:hAnsi="Times New Roman" w:cs="Times New Roman"/>
          <w:sz w:val="32"/>
          <w:szCs w:val="32"/>
        </w:rPr>
        <w:t>求我们必须</w:t>
      </w:r>
      <w:r>
        <w:rPr>
          <w:rFonts w:ascii="Times New Roman" w:hAnsi="Times New Roman" w:cs="Times New Roman"/>
          <w:sz w:val="32"/>
          <w:szCs w:val="32"/>
        </w:rPr>
        <w:t>在产业梯次承接转移中考虑自己的位置，防止“虚胖”、更重营养。像德清地理信息产业，通过先后引进一批知名实验室和企业入驻，举办首届世界地理信息大会，让地理信息小镇名声远扬，提升了地区发展的美誉度。像安吉竹产业，其带来的产业收入占到当地农民收入的将近一半，年产值已超百亿元。目前，湖州聚集形成了一批绿色生态产业标识。除了传统的童装产业，还形成了许多产业集群，像新型动力电池、高端绿色家居等产业集群产值已超千亿，形成了相当的规模效应。</w:t>
      </w:r>
    </w:p>
    <w:p>
      <w:pPr>
        <w:spacing w:line="620" w:lineRule="exact"/>
        <w:ind w:firstLine="640" w:firstLineChars="200"/>
        <w:rPr>
          <w:rFonts w:ascii="Times New Roman" w:hAnsi="Times New Roman" w:cs="Times New Roman"/>
          <w:sz w:val="32"/>
          <w:szCs w:val="32"/>
        </w:rPr>
      </w:pPr>
      <w:r>
        <w:rPr>
          <w:rFonts w:ascii="Times New Roman" w:hAnsi="Times New Roman" w:cs="Times New Roman"/>
          <w:sz w:val="32"/>
          <w:szCs w:val="32"/>
        </w:rPr>
        <w:t>湖州城市转型发展的成功实践，是深入践行“两山”思想的生动样板和集中体现。它启示我们，城市发展要有自己的尺度、恪守自己的原则、涵养自己的优势，必须始终坚持以人民为中心，着眼地区发展的长远，坚决扭转短视行为。要算好以舍促得的大帐，保持战略定力，敢于壮士断腕，善于吐故纳新，唯此方能行稳致远。</w:t>
      </w:r>
    </w:p>
    <w:p>
      <w:pPr>
        <w:spacing w:line="6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二、从 “泉州模式”看城市发展的“虚实经”</w:t>
      </w:r>
    </w:p>
    <w:p>
      <w:pPr>
        <w:spacing w:line="620" w:lineRule="exact"/>
        <w:ind w:firstLine="640" w:firstLineChars="200"/>
        <w:rPr>
          <w:rFonts w:ascii="Times New Roman" w:hAnsi="Times New Roman" w:cs="Times New Roman"/>
          <w:sz w:val="32"/>
          <w:szCs w:val="32"/>
        </w:rPr>
      </w:pPr>
      <w:r>
        <w:rPr>
          <w:rFonts w:ascii="Times New Roman" w:hAnsi="Times New Roman" w:cs="Times New Roman"/>
          <w:sz w:val="32"/>
          <w:szCs w:val="32"/>
        </w:rPr>
        <w:t>城市化与工业化好比鸟之双翼，本是一个协同推进的历史过程。城市的生长，绝不仅是我们直观所见的边界扩张，还应该表现为内生动力的增强。我们建设城市，切不可脱实向虚、得皮去骨，要始终坚持内涵式发展的王道。在这方面，泉州模式堪为典范。习近平同志在福建工作期间曾7次到泉州晋江调研，对这里的实业精神给予很高评价。2002年，时任福建省省长的习近平对泉州市晋江的发展经验作出“六个始终坚持”和“处理好五大关系”的深刻概括，并在《福建日报》发表了上万字的文章进行了系统总结。</w:t>
      </w:r>
      <w:r>
        <w:rPr>
          <w:rFonts w:ascii="Times New Roman" w:hAnsi="Times New Roman" w:cs="Times New Roman"/>
          <w:sz w:val="32"/>
          <w:szCs w:val="32"/>
          <w:vertAlign w:val="superscript"/>
        </w:rPr>
        <w:t>[1</w:t>
      </w:r>
      <w:r>
        <w:rPr>
          <w:rFonts w:ascii="Times New Roman" w:hAnsi="Times New Roman" w:eastAsia="宋体" w:cs="Times New Roman"/>
          <w:sz w:val="32"/>
          <w:szCs w:val="32"/>
          <w:vertAlign w:val="superscript"/>
        </w:rPr>
        <w:t>]</w:t>
      </w:r>
      <w:r>
        <w:rPr>
          <w:rFonts w:ascii="Times New Roman" w:hAnsi="Times New Roman" w:cs="Times New Roman"/>
          <w:sz w:val="32"/>
          <w:szCs w:val="32"/>
        </w:rPr>
        <w:t xml:space="preserve"> </w:t>
      </w:r>
      <w:r>
        <w:rPr>
          <w:rFonts w:hint="eastAsia" w:ascii="Times New Roman" w:hAnsi="Times New Roman" w:cs="Times New Roman"/>
          <w:sz w:val="32"/>
          <w:szCs w:val="32"/>
        </w:rPr>
        <w:t>2019</w:t>
      </w:r>
      <w:r>
        <w:rPr>
          <w:rFonts w:ascii="Times New Roman" w:hAnsi="Times New Roman" w:cs="Times New Roman"/>
          <w:sz w:val="32"/>
          <w:szCs w:val="32"/>
        </w:rPr>
        <w:t>年3月，习近平总书记在参加十三届全国人大二次会议福建代表团审议时，再次强调“晋江经验”，并指出这一经验对现在仍有指导意义。可以说，实业立城、实业兴城已成为包括晋江在内的整个泉州的重要价值标识。</w:t>
      </w:r>
    </w:p>
    <w:p>
      <w:pPr>
        <w:spacing w:line="620" w:lineRule="exact"/>
        <w:ind w:firstLine="640" w:firstLineChars="200"/>
        <w:rPr>
          <w:rFonts w:ascii="Times New Roman" w:hAnsi="Times New Roman" w:cs="Times New Roman"/>
          <w:sz w:val="32"/>
          <w:szCs w:val="32"/>
        </w:rPr>
      </w:pPr>
      <w:r>
        <w:rPr>
          <w:rFonts w:ascii="Times New Roman" w:hAnsi="Times New Roman" w:cs="Times New Roman"/>
          <w:sz w:val="32"/>
          <w:szCs w:val="32"/>
        </w:rPr>
        <w:t>泉州这个素有“民营特区”之称的城市，历史悠久，商业传统醇厚。作为宋元时期“东方第一大港”，这里早在800多年前就与100多个国家和地区开展通商贸易，出现过“涨海声中万国商”的盛景，其繁华程度让马可波罗大为惊叹，一时成为名副其实的世界性经济文化中心。后来实行的禁海政策以及随之的发展断层，也让这里经历了一个时期的沉寂。改革开放之初，泉州上演了一幕民营经济的粗放竞逐：从起初的“三来一补”到其后承接</w:t>
      </w:r>
      <w:r>
        <w:rPr>
          <w:rFonts w:hint="eastAsia" w:ascii="Times New Roman" w:hAnsi="Times New Roman" w:cs="Times New Roman"/>
          <w:sz w:val="32"/>
          <w:szCs w:val="32"/>
        </w:rPr>
        <w:t>外来</w:t>
      </w:r>
      <w:r>
        <w:rPr>
          <w:rFonts w:ascii="Times New Roman" w:hAnsi="Times New Roman" w:cs="Times New Roman"/>
          <w:sz w:val="32"/>
          <w:szCs w:val="32"/>
        </w:rPr>
        <w:t>产业转移，再到后来培育形成自己的比较优势，这里经历了一段辗转曲折的转型心路。面对曾经的造假制假丑闻，产品质量把关不严</w:t>
      </w:r>
      <w:r>
        <w:rPr>
          <w:rFonts w:hint="eastAsia" w:ascii="Times New Roman" w:hAnsi="Times New Roman" w:cs="Times New Roman"/>
          <w:sz w:val="32"/>
          <w:szCs w:val="32"/>
        </w:rPr>
        <w:t>，</w:t>
      </w:r>
      <w:r>
        <w:rPr>
          <w:rFonts w:ascii="Times New Roman" w:hAnsi="Times New Roman" w:cs="Times New Roman"/>
          <w:sz w:val="32"/>
          <w:szCs w:val="32"/>
        </w:rPr>
        <w:t>面对用工用地成本上升，生态环保压力加大，泉州在一次次挫折和奋起中不断完成着自我超越，经济总量持续多年位居福建各地市首位，在海上丝绸之路</w:t>
      </w:r>
      <w:r>
        <w:rPr>
          <w:rFonts w:hint="eastAsia" w:ascii="Times New Roman" w:hAnsi="Times New Roman" w:cs="Times New Roman"/>
          <w:sz w:val="32"/>
          <w:szCs w:val="32"/>
        </w:rPr>
        <w:t>建设</w:t>
      </w:r>
      <w:r>
        <w:rPr>
          <w:rFonts w:ascii="Times New Roman" w:hAnsi="Times New Roman" w:cs="Times New Roman"/>
          <w:sz w:val="32"/>
          <w:szCs w:val="32"/>
        </w:rPr>
        <w:t>中占据着十分重要的战略位置。实干精神让这座魅力古城重焕光彩。</w:t>
      </w:r>
    </w:p>
    <w:p>
      <w:pPr>
        <w:spacing w:line="620" w:lineRule="exact"/>
        <w:ind w:firstLine="640" w:firstLineChars="200"/>
        <w:rPr>
          <w:rFonts w:ascii="Times New Roman" w:hAnsi="Times New Roman" w:cs="Times New Roman"/>
          <w:sz w:val="32"/>
          <w:szCs w:val="32"/>
        </w:rPr>
      </w:pPr>
      <w:r>
        <w:rPr>
          <w:rFonts w:ascii="Times New Roman" w:hAnsi="Times New Roman" w:cs="Times New Roman"/>
          <w:sz w:val="32"/>
          <w:szCs w:val="32"/>
        </w:rPr>
        <w:t>泉州在建立民营经济品牌上深耕细作。做实业要有积淀，不能变成水上浮萍、昙花一现，更不能搞击鼓传花</w:t>
      </w:r>
      <w:r>
        <w:rPr>
          <w:rFonts w:hint="eastAsia" w:ascii="Times New Roman" w:hAnsi="Times New Roman" w:cs="Times New Roman"/>
          <w:sz w:val="32"/>
          <w:szCs w:val="32"/>
        </w:rPr>
        <w:t>，</w:t>
      </w:r>
      <w:r>
        <w:rPr>
          <w:rFonts w:ascii="Times New Roman" w:hAnsi="Times New Roman" w:cs="Times New Roman"/>
          <w:sz w:val="32"/>
          <w:szCs w:val="32"/>
        </w:rPr>
        <w:t>只想着套现抽身。对于民营经济来讲，品牌就是生命线。泉州从曾经的贴牌加工、制假阴霾，到秉持质量兴业理念，不断精益求精，紧密对接消费需求，咬住实体经济发展不放松，持续建设商业口碑和信任，仅在晋江，就培养出安踏、361度、柒牌、七匹狼、心相印、盼盼等耳熟能详的知名品牌，使这里成为响当当的“品牌之都”。在石狮举办的海丝品博会和国际时装周，也是美誉在外。目前，泉州已经形成行业龙头企业的聚集优势，其中建材家居和纺织服装产业集群</w:t>
      </w:r>
      <w:r>
        <w:rPr>
          <w:rFonts w:hint="eastAsia" w:ascii="Times New Roman" w:hAnsi="Times New Roman" w:cs="Times New Roman"/>
          <w:sz w:val="32"/>
          <w:szCs w:val="32"/>
        </w:rPr>
        <w:t>蔚为大观</w:t>
      </w:r>
      <w:r>
        <w:rPr>
          <w:rFonts w:ascii="Times New Roman" w:hAnsi="Times New Roman" w:cs="Times New Roman"/>
          <w:sz w:val="32"/>
          <w:szCs w:val="32"/>
        </w:rPr>
        <w:t>。作为享誉全国的一张民营经济名片，泉州注册的民营企业已超过15万家，产值超过全市国民生产总值的90%。过硬的实业根基好比城市巨人的后脚跟，让泉州步履铿锵，走得愈发坚定从容。</w:t>
      </w:r>
    </w:p>
    <w:p>
      <w:pPr>
        <w:spacing w:line="620" w:lineRule="exact"/>
        <w:ind w:firstLine="640" w:firstLineChars="200"/>
        <w:rPr>
          <w:rFonts w:ascii="Times New Roman" w:hAnsi="Times New Roman" w:cs="Times New Roman"/>
          <w:sz w:val="32"/>
          <w:szCs w:val="32"/>
        </w:rPr>
      </w:pPr>
      <w:r>
        <w:rPr>
          <w:rFonts w:ascii="Times New Roman" w:hAnsi="Times New Roman" w:cs="Times New Roman"/>
          <w:sz w:val="32"/>
          <w:szCs w:val="32"/>
        </w:rPr>
        <w:t>泉州在做好实业保姆上积极探索。实业状况是政治生态</w:t>
      </w:r>
      <w:r>
        <w:rPr>
          <w:rFonts w:hint="eastAsia" w:ascii="Times New Roman" w:hAnsi="Times New Roman" w:cs="Times New Roman"/>
          <w:sz w:val="32"/>
          <w:szCs w:val="32"/>
        </w:rPr>
        <w:t>与</w:t>
      </w:r>
      <w:r>
        <w:rPr>
          <w:rFonts w:ascii="Times New Roman" w:hAnsi="Times New Roman" w:cs="Times New Roman"/>
          <w:sz w:val="32"/>
          <w:szCs w:val="32"/>
        </w:rPr>
        <w:t>经济生态的集中反映，这里面很重要一个衡量标尺就是如何处理好政府和市场的关系。一方面，泉州积极建立“亲清”新型政商关系，对民营经济坚持“不叫不到、随叫随到、服务周到、说到做到”的服务理念，给这里的发展环境铺就了温暖的底色。一段时间以来，受经济下行压力影响，针对民企发展反映较为强烈的经营成本高、融资难融资贵等制约因素，泉州快速出台和推进落实颇具针对性的支持政策，解决了企业的很多实际困难。为支持企业改制上市，晋江还专门成立“上市办”，对上市企业给予资金支持。另一方面，泉州坚持服务与管理相并重，在努力为企业扶上马的同时，也果断为地区发展划出生态红线。通过留白护绿，积极促进工业制造城市向绿色生态城市转型。以石狮为例，全国每10米的纺织品中就有1米产自石狮，然而随之而来的废气、废料、废渣治理也势在必行，石狮</w:t>
      </w:r>
      <w:r>
        <w:rPr>
          <w:rFonts w:hint="eastAsia" w:ascii="Times New Roman" w:hAnsi="Times New Roman" w:cs="Times New Roman"/>
          <w:sz w:val="32"/>
          <w:szCs w:val="32"/>
        </w:rPr>
        <w:t>大力推进</w:t>
      </w:r>
      <w:r>
        <w:rPr>
          <w:rFonts w:ascii="Times New Roman" w:hAnsi="Times New Roman" w:cs="Times New Roman"/>
          <w:sz w:val="32"/>
          <w:szCs w:val="32"/>
        </w:rPr>
        <w:t>印染行业转型升级，2018年实现行业技改投入接近翻一番，确保实体经济绿色可持续发展。</w:t>
      </w:r>
    </w:p>
    <w:p>
      <w:pPr>
        <w:spacing w:line="620" w:lineRule="exact"/>
        <w:ind w:firstLine="640" w:firstLineChars="200"/>
        <w:rPr>
          <w:rFonts w:ascii="Times New Roman" w:hAnsi="Times New Roman" w:cs="Times New Roman"/>
          <w:sz w:val="32"/>
          <w:szCs w:val="32"/>
        </w:rPr>
      </w:pPr>
      <w:r>
        <w:rPr>
          <w:rFonts w:ascii="Times New Roman" w:hAnsi="Times New Roman" w:cs="Times New Roman"/>
          <w:sz w:val="32"/>
          <w:szCs w:val="32"/>
        </w:rPr>
        <w:t>泉州城市转型经验启示我们</w:t>
      </w:r>
      <w:r>
        <w:rPr>
          <w:rFonts w:hint="eastAsia" w:ascii="Times New Roman" w:hAnsi="Times New Roman" w:cs="Times New Roman"/>
          <w:sz w:val="32"/>
          <w:szCs w:val="32"/>
        </w:rPr>
        <w:t>：</w:t>
      </w:r>
      <w:r>
        <w:rPr>
          <w:rFonts w:ascii="Times New Roman" w:hAnsi="Times New Roman" w:cs="Times New Roman"/>
          <w:sz w:val="32"/>
          <w:szCs w:val="32"/>
        </w:rPr>
        <w:t>城市发展要保持进取精神和奋斗本色，力戒浮躁，久久为功，打造坚实的经济支撑。同样地处福建，人们笑谈买假鞋到</w:t>
      </w:r>
      <w:r>
        <w:rPr>
          <w:rFonts w:hint="eastAsia" w:ascii="Times New Roman" w:hAnsi="Times New Roman" w:cs="Times New Roman"/>
          <w:sz w:val="32"/>
          <w:szCs w:val="32"/>
        </w:rPr>
        <w:t>“某地”</w:t>
      </w:r>
      <w:r>
        <w:rPr>
          <w:rFonts w:ascii="Times New Roman" w:hAnsi="Times New Roman" w:cs="Times New Roman"/>
          <w:sz w:val="32"/>
          <w:szCs w:val="32"/>
        </w:rPr>
        <w:t>、买真鞋到泉州晋江。这也充分说明了此地的实业精神、商业文化已经在竞争角逐中成就了自己的口碑和高度。戒虚向实、去伪存真，这不仅是商业的真谛，也是城市发展的真谛。</w:t>
      </w:r>
    </w:p>
    <w:p>
      <w:pPr>
        <w:spacing w:line="620" w:lineRule="exact"/>
        <w:ind w:firstLine="627" w:firstLineChars="196"/>
        <w:rPr>
          <w:rFonts w:ascii="Times New Roman" w:hAnsi="Times New Roman" w:eastAsia="黑体" w:cs="Times New Roman"/>
          <w:sz w:val="32"/>
          <w:szCs w:val="32"/>
        </w:rPr>
      </w:pPr>
      <w:r>
        <w:rPr>
          <w:rFonts w:ascii="Times New Roman" w:hAnsi="Times New Roman" w:eastAsia="黑体" w:cs="Times New Roman"/>
          <w:sz w:val="32"/>
          <w:szCs w:val="32"/>
        </w:rPr>
        <w:t>三、从 “徐州模式”看城市发展的“产城经”</w:t>
      </w:r>
    </w:p>
    <w:p>
      <w:pPr>
        <w:spacing w:line="620" w:lineRule="exact"/>
        <w:ind w:firstLine="640" w:firstLineChars="200"/>
        <w:rPr>
          <w:rFonts w:ascii="Times New Roman" w:hAnsi="Times New Roman" w:cs="Times New Roman"/>
          <w:sz w:val="32"/>
          <w:szCs w:val="32"/>
        </w:rPr>
      </w:pPr>
      <w:r>
        <w:rPr>
          <w:rFonts w:ascii="Times New Roman" w:hAnsi="Times New Roman" w:cs="Times New Roman"/>
          <w:sz w:val="32"/>
          <w:szCs w:val="32"/>
        </w:rPr>
        <w:t>城市，顾名思义，既有城的一面，也有市的一面，要致力实现生活、生产和生态的完美平衡。正在崛起中的徐州就是这样一个成功典范。2017年12月，习近平总书记到江苏徐州视察，当他看到徐州从创新动能到城市面貌的巨大发展变化时，深刻指出：“资源枯竭地区经济转型发展是一篇大文章，实践证明这篇文章完全可以做好，关键是要贯彻新发展理念，坚定不移走生产发展、生活富裕、生态良好的文明发展道路。”这个党的十九大之后总书记首个视察的城市，在经历了浴火重生之后，从内到外品质提升之大、整体转型效果之显著，让人感叹、催人奋进。产城相融互促，让徐州成为新时代的城市发展新标杆。</w:t>
      </w:r>
    </w:p>
    <w:p>
      <w:pPr>
        <w:spacing w:line="620" w:lineRule="exact"/>
        <w:ind w:firstLine="640" w:firstLineChars="200"/>
        <w:rPr>
          <w:rFonts w:ascii="Times New Roman" w:hAnsi="Times New Roman" w:cs="Times New Roman"/>
          <w:sz w:val="32"/>
          <w:szCs w:val="32"/>
        </w:rPr>
      </w:pPr>
      <w:r>
        <w:rPr>
          <w:rFonts w:ascii="Times New Roman" w:hAnsi="Times New Roman" w:cs="Times New Roman"/>
          <w:sz w:val="32"/>
          <w:szCs w:val="32"/>
        </w:rPr>
        <w:t>徐州作为国家历史文化名城，历来是经济、文化、军事和交通重镇。新中国成立后，毛主席先后7次到徐州视察，足见此处地位之重要。一方面，虽为名城，这里的城市面貌却几经更迭，历史上因黄河水患屡次被淹没损毁，形成了如开封一样独特的城摞城景观；另一方面，作为传统的资源型城市、老工业基地，这里既有往日荣光、也有历史包袱。曾经的徐州，一度产业结构偏重，长期以来能源消耗量和污染物排放量均比较大，被形象地描绘为“一城煤灰半城土”。如何让这颗蒙尘的苏北明珠重新绽放光彩，徐州咬定转型目标不放松，开启了一条城市科学发展之路。</w:t>
      </w:r>
    </w:p>
    <w:p>
      <w:pPr>
        <w:spacing w:line="620" w:lineRule="exact"/>
        <w:ind w:firstLine="640" w:firstLineChars="200"/>
        <w:rPr>
          <w:rFonts w:ascii="Times New Roman" w:hAnsi="Times New Roman" w:cs="Times New Roman"/>
          <w:sz w:val="32"/>
          <w:szCs w:val="32"/>
        </w:rPr>
      </w:pPr>
      <w:r>
        <w:rPr>
          <w:rFonts w:ascii="Times New Roman" w:hAnsi="Times New Roman" w:cs="Times New Roman"/>
          <w:sz w:val="32"/>
          <w:szCs w:val="32"/>
        </w:rPr>
        <w:t>从修复生态伤疤入手，让城市旧貌换新颜，环境更宜居。城犹如人也，古人讲“相由心生”，城市面貌虽不必刻意追求高大尚，但却是一个城市文化和市民精神状态最直白的反映。我们很难想象地处徐州市贾汪区，如今湖光柳色、让人流连忘返的湿地景区潘安湖，曾经是一片采煤塌陷区。徐州效法德国鲁尔区的有益经验，积极修复塌陷区生态环境，因地制宜构建特色景观，使得城市发展的历史伤疤，以一种十分特别方式得到了逆转呈现，让人们领略了转型可以达致的移山填海之功效。习近平总书记在视察时对此特别给予点赞，要求对采煤塌陷区整治的有益经验，要注意总结推广。从一定意义上讲，潘安湖所代表的示范意义不亚于苏轼当年在徐州开挖云龙湖、修建苏堤之功。流经徐州老城的丁万河，</w:t>
      </w:r>
      <w:r>
        <w:rPr>
          <w:rFonts w:hint="eastAsia" w:ascii="Times New Roman" w:hAnsi="Times New Roman" w:cs="Times New Roman"/>
          <w:sz w:val="32"/>
          <w:szCs w:val="32"/>
        </w:rPr>
        <w:t>曾经的水体黑臭让人不堪回顾</w:t>
      </w:r>
      <w:r>
        <w:rPr>
          <w:rFonts w:ascii="Times New Roman" w:hAnsi="Times New Roman" w:cs="Times New Roman"/>
          <w:sz w:val="32"/>
          <w:szCs w:val="32"/>
        </w:rPr>
        <w:t>，经过大力度治理，实现了河道贯通，绕活了一座城，为市民出行小憩增添了一抹绿色。如今的徐州，九湖绕城，实现了由“一城煤灰半城土”向“一城青山半城湖”的华丽转身，这是贯彻新发展理念生动注脚，徐州也因此获得了联合国人居奖。</w:t>
      </w:r>
    </w:p>
    <w:p>
      <w:pPr>
        <w:spacing w:line="620" w:lineRule="exact"/>
        <w:ind w:firstLine="640" w:firstLineChars="200"/>
        <w:rPr>
          <w:rFonts w:ascii="Times New Roman" w:hAnsi="Times New Roman" w:cs="Times New Roman"/>
          <w:sz w:val="32"/>
          <w:szCs w:val="32"/>
        </w:rPr>
      </w:pPr>
      <w:r>
        <w:rPr>
          <w:rFonts w:ascii="Times New Roman" w:hAnsi="Times New Roman" w:cs="Times New Roman"/>
          <w:sz w:val="32"/>
          <w:szCs w:val="32"/>
        </w:rPr>
        <w:t>从调整产业结构入手，为城市发展注入充沛动能，打造产业骨骼。不少经济学家认为，传统中国的经济重心在乡村，后来转向城市，明清500</w:t>
      </w:r>
      <w:r>
        <w:rPr>
          <w:rFonts w:hint="eastAsia" w:ascii="Times New Roman" w:hAnsi="Times New Roman" w:cs="Times New Roman"/>
          <w:sz w:val="32"/>
          <w:szCs w:val="32"/>
        </w:rPr>
        <w:t>多</w:t>
      </w:r>
      <w:r>
        <w:rPr>
          <w:rFonts w:ascii="Times New Roman" w:hAnsi="Times New Roman" w:cs="Times New Roman"/>
          <w:sz w:val="32"/>
          <w:szCs w:val="32"/>
        </w:rPr>
        <w:t>年间，中国的城市化进程和GDP增长都接近于停滞</w:t>
      </w:r>
      <w:r>
        <w:rPr>
          <w:rFonts w:ascii="Times New Roman" w:hAnsi="Times New Roman" w:cs="Times New Roman"/>
          <w:sz w:val="32"/>
          <w:szCs w:val="32"/>
          <w:vertAlign w:val="superscript"/>
        </w:rPr>
        <w:t>[2</w:t>
      </w:r>
      <w:r>
        <w:rPr>
          <w:rFonts w:ascii="Times New Roman" w:hAnsi="Times New Roman" w:eastAsia="宋体" w:cs="Times New Roman"/>
          <w:sz w:val="32"/>
          <w:szCs w:val="32"/>
          <w:vertAlign w:val="superscript"/>
        </w:rPr>
        <w:t>]</w:t>
      </w:r>
      <w:r>
        <w:rPr>
          <w:rFonts w:ascii="Times New Roman" w:hAnsi="Times New Roman" w:cs="Times New Roman"/>
          <w:sz w:val="32"/>
          <w:szCs w:val="32"/>
        </w:rPr>
        <w:t>，现代化进程很大程度上是城市经济的崛起和迭代过程。作为典型的资源型城市和重工业基地，徐州坚持把产业转型升级作为城市转型发展的决定性因素，着力改变一煤独大、一重独大的旧格局。一方面，抓好存量优势产业的自主创新，做优做强徐工集团，积极推动中国制造向中国创造转变</w:t>
      </w:r>
      <w:r>
        <w:rPr>
          <w:rFonts w:hint="eastAsia" w:ascii="Times New Roman" w:hAnsi="Times New Roman" w:cs="Times New Roman"/>
          <w:sz w:val="32"/>
          <w:szCs w:val="32"/>
        </w:rPr>
        <w:t>，瞄准质量和品牌做足文章</w:t>
      </w:r>
      <w:r>
        <w:rPr>
          <w:rFonts w:ascii="Times New Roman" w:hAnsi="Times New Roman" w:cs="Times New Roman"/>
          <w:sz w:val="32"/>
          <w:szCs w:val="32"/>
        </w:rPr>
        <w:t>。积极发展先进制造业体系，包括装备制造业在内，目前徐州</w:t>
      </w:r>
      <w:r>
        <w:rPr>
          <w:rFonts w:hint="eastAsia" w:ascii="Times New Roman" w:hAnsi="Times New Roman" w:cs="Times New Roman"/>
          <w:sz w:val="32"/>
          <w:szCs w:val="32"/>
        </w:rPr>
        <w:t>多个制造产业</w:t>
      </w:r>
      <w:r>
        <w:rPr>
          <w:rFonts w:ascii="Times New Roman" w:hAnsi="Times New Roman" w:cs="Times New Roman"/>
          <w:sz w:val="32"/>
          <w:szCs w:val="32"/>
        </w:rPr>
        <w:t>规模均已超千亿元。另一方面，构建多元创新体系，丰富优化产业格局，深入推进能源</w:t>
      </w:r>
      <w:r>
        <w:rPr>
          <w:rFonts w:hint="eastAsia" w:ascii="Times New Roman" w:hAnsi="Times New Roman" w:cs="Times New Roman"/>
          <w:sz w:val="32"/>
          <w:szCs w:val="32"/>
        </w:rPr>
        <w:t>型</w:t>
      </w:r>
      <w:r>
        <w:rPr>
          <w:rFonts w:ascii="Times New Roman" w:hAnsi="Times New Roman" w:cs="Times New Roman"/>
          <w:sz w:val="32"/>
          <w:szCs w:val="32"/>
        </w:rPr>
        <w:t>城市的迭代更新。作为国家节能减排财政政策综合示范城市，徐州着力将多晶硅光伏、风力发电和节能环保等新能源产业打造成发展新引擎。注重筑巢引凤，徐州通过同京沪等地大企大院大所开展合作对接，积极承接优质产能，推动高端资源要素加速集聚。通过一系列切实有效的举措，</w:t>
      </w:r>
      <w:r>
        <w:rPr>
          <w:rFonts w:hint="eastAsia" w:ascii="Times New Roman" w:hAnsi="Times New Roman" w:cs="Times New Roman"/>
          <w:sz w:val="32"/>
          <w:szCs w:val="32"/>
        </w:rPr>
        <w:t>这里</w:t>
      </w:r>
      <w:r>
        <w:rPr>
          <w:rFonts w:ascii="Times New Roman" w:hAnsi="Times New Roman" w:cs="Times New Roman"/>
          <w:sz w:val="32"/>
          <w:szCs w:val="32"/>
        </w:rPr>
        <w:t>的产业结构正在变轻变好变强。</w:t>
      </w:r>
    </w:p>
    <w:p>
      <w:pPr>
        <w:spacing w:line="620" w:lineRule="exact"/>
        <w:ind w:firstLine="640" w:firstLineChars="200"/>
        <w:rPr>
          <w:rFonts w:ascii="Times New Roman" w:hAnsi="Times New Roman" w:cs="Times New Roman"/>
          <w:sz w:val="32"/>
          <w:szCs w:val="32"/>
        </w:rPr>
      </w:pPr>
      <w:r>
        <w:rPr>
          <w:rFonts w:ascii="Times New Roman" w:hAnsi="Times New Roman" w:cs="Times New Roman"/>
          <w:sz w:val="32"/>
          <w:szCs w:val="32"/>
        </w:rPr>
        <w:t>徐州经验再次表明</w:t>
      </w:r>
      <w:r>
        <w:rPr>
          <w:rFonts w:hint="eastAsia" w:ascii="Times New Roman" w:hAnsi="Times New Roman" w:cs="Times New Roman"/>
          <w:sz w:val="32"/>
          <w:szCs w:val="32"/>
        </w:rPr>
        <w:t>：</w:t>
      </w:r>
      <w:r>
        <w:rPr>
          <w:rFonts w:ascii="Times New Roman" w:hAnsi="Times New Roman" w:cs="Times New Roman"/>
          <w:sz w:val="32"/>
          <w:szCs w:val="32"/>
        </w:rPr>
        <w:t>城市发展既要有面子、还要有里子，要坚持走一条产城融合、整体升级的宽路子。过去那种以发展产业为名，不顾城市面貌和居住品质的做法是不足取的。无论是有城无产，还是有产无城，都会给城市带来这样那样的问题，最终证明都是不可持续的，必须坚持两手抓、两手硬，实施科学系统的转型。特别是名城大城，更要有这样的眼界和魄力，决不能止步于小富即安和小修小补。</w:t>
      </w:r>
    </w:p>
    <w:p>
      <w:pPr>
        <w:spacing w:line="620" w:lineRule="exact"/>
        <w:ind w:firstLine="640" w:firstLineChars="200"/>
        <w:rPr>
          <w:rFonts w:ascii="Times New Roman" w:hAnsi="Times New Roman" w:cs="Times New Roman"/>
          <w:sz w:val="32"/>
          <w:szCs w:val="32"/>
        </w:rPr>
      </w:pPr>
    </w:p>
    <w:p>
      <w:pPr>
        <w:spacing w:line="620" w:lineRule="exact"/>
        <w:ind w:firstLine="640" w:firstLineChars="200"/>
        <w:rPr>
          <w:rFonts w:ascii="Times New Roman" w:hAnsi="Times New Roman" w:cs="Times New Roman"/>
          <w:sz w:val="32"/>
          <w:szCs w:val="32"/>
        </w:rPr>
      </w:pPr>
      <w:r>
        <w:rPr>
          <w:rFonts w:ascii="Times New Roman" w:hAnsi="Times New Roman" w:cs="Times New Roman"/>
          <w:sz w:val="32"/>
          <w:szCs w:val="32"/>
        </w:rPr>
        <w:t>当然，城市发展千头万绪，好似一个没有终点的旅程，其内在指导思想必然是一个内涵丰富的科学体系，绝非以上三点所能完全覆盖。除了把握好舍与得、虚与实、产与城的关系，还有很多问题值得认真研究，有待继续探讨。在这个过程中，要特别注重加强对习近平同志关于城市建设发展重要论述的学习研究，以典型经验为突破点，力求抓住本质性规律性的东西。顺着本文浅陋的分析拾阶而上，相信有心之读者放眼新时代中国城市转型发展的恢弘实践，一定能够收获更多超</w:t>
      </w:r>
      <w:r>
        <w:rPr>
          <w:rFonts w:hint="eastAsia" w:ascii="Times New Roman" w:hAnsi="Times New Roman" w:cs="Times New Roman"/>
          <w:sz w:val="32"/>
          <w:szCs w:val="32"/>
        </w:rPr>
        <w:t>越</w:t>
      </w:r>
      <w:r>
        <w:rPr>
          <w:rFonts w:ascii="Times New Roman" w:hAnsi="Times New Roman" w:cs="Times New Roman"/>
          <w:sz w:val="32"/>
          <w:szCs w:val="32"/>
        </w:rPr>
        <w:t>个案的体会。</w:t>
      </w:r>
    </w:p>
    <w:p>
      <w:pPr>
        <w:spacing w:line="620" w:lineRule="exact"/>
        <w:ind w:firstLine="640" w:firstLineChars="200"/>
        <w:rPr>
          <w:rFonts w:ascii="Times New Roman" w:hAnsi="Times New Roman" w:cs="Times New Roman"/>
          <w:sz w:val="32"/>
          <w:szCs w:val="32"/>
        </w:rPr>
      </w:pPr>
    </w:p>
    <w:p>
      <w:pPr>
        <w:widowControl/>
        <w:spacing w:line="620" w:lineRule="exact"/>
        <w:jc w:val="left"/>
        <w:rPr>
          <w:rFonts w:ascii="Times New Roman" w:hAnsi="Times New Roman" w:cs="Times New Roman"/>
          <w:sz w:val="30"/>
          <w:szCs w:val="30"/>
        </w:rPr>
      </w:pPr>
      <w:r>
        <w:rPr>
          <w:rFonts w:ascii="Times New Roman" w:hAnsi="Times New Roman" w:cs="Times New Roman"/>
          <w:sz w:val="30"/>
          <w:szCs w:val="30"/>
        </w:rPr>
        <w:t>【</w:t>
      </w:r>
      <w:r>
        <w:rPr>
          <w:rFonts w:ascii="Times New Roman" w:hAnsi="Times New Roman" w:eastAsia="黑体" w:cs="Times New Roman"/>
          <w:sz w:val="30"/>
          <w:szCs w:val="30"/>
        </w:rPr>
        <w:t>参考文献</w:t>
      </w:r>
      <w:r>
        <w:rPr>
          <w:rFonts w:ascii="Times New Roman" w:hAnsi="Times New Roman" w:cs="Times New Roman"/>
          <w:sz w:val="30"/>
          <w:szCs w:val="30"/>
        </w:rPr>
        <w:t>】</w:t>
      </w:r>
    </w:p>
    <w:p>
      <w:pPr>
        <w:pStyle w:val="2"/>
        <w:spacing w:line="620" w:lineRule="exact"/>
        <w:jc w:val="both"/>
        <w:rPr>
          <w:rFonts w:ascii="Times New Roman" w:hAnsi="Times New Roman" w:cs="Times New Roman"/>
          <w:sz w:val="30"/>
          <w:szCs w:val="30"/>
        </w:rPr>
      </w:pPr>
      <w:r>
        <w:rPr>
          <w:rFonts w:ascii="Times New Roman" w:hAnsi="Times New Roman" w:cs="Times New Roman"/>
          <w:sz w:val="30"/>
          <w:szCs w:val="30"/>
        </w:rPr>
        <w:t>[1]习近平. 《研究借鉴晋江经验 加快构建三条战略通道——关于晋江经济持续快速发展的调查与思考》[N]. 《福建日报》,2002-10-4(3版)</w:t>
      </w:r>
    </w:p>
    <w:p>
      <w:pPr>
        <w:spacing w:line="620" w:lineRule="exact"/>
        <w:rPr>
          <w:rFonts w:ascii="Times New Roman" w:hAnsi="Times New Roman" w:cs="Times New Roman"/>
          <w:sz w:val="30"/>
          <w:szCs w:val="30"/>
        </w:rPr>
      </w:pPr>
      <w:r>
        <w:rPr>
          <w:rFonts w:ascii="Times New Roman" w:hAnsi="Times New Roman" w:cs="Times New Roman"/>
          <w:sz w:val="30"/>
          <w:szCs w:val="30"/>
        </w:rPr>
        <w:t>[2] 吴晓波.《历代经济变革得失》[M].浙江大学出版社，2013</w:t>
      </w:r>
      <w:r>
        <w:rPr>
          <w:rFonts w:hint="eastAsia" w:ascii="Times New Roman" w:hAnsi="Times New Roman" w:cs="Times New Roman"/>
          <w:sz w:val="30"/>
          <w:szCs w:val="30"/>
          <w:lang w:eastAsia="zh-CN"/>
        </w:rPr>
        <w:t>：</w:t>
      </w:r>
      <w:r>
        <w:rPr>
          <w:rFonts w:hint="eastAsia" w:ascii="Times New Roman" w:hAnsi="Times New Roman" w:cs="Times New Roman"/>
          <w:sz w:val="30"/>
          <w:szCs w:val="30"/>
          <w:lang w:val="en-US" w:eastAsia="zh-CN"/>
        </w:rPr>
        <w:t>117</w:t>
      </w:r>
      <w:r>
        <w:rPr>
          <w:rFonts w:ascii="Times New Roman" w:hAnsi="Times New Roman" w:cs="Times New Roman"/>
          <w:sz w:val="30"/>
          <w:szCs w:val="30"/>
        </w:rPr>
        <w:t>.</w:t>
      </w:r>
    </w:p>
    <w:p>
      <w:pPr>
        <w:spacing w:line="620" w:lineRule="exact"/>
        <w:rPr>
          <w:rFonts w:ascii="Times New Roman" w:hAnsi="Times New Roman" w:eastAsia="黑体" w:cs="Times New Roman"/>
          <w:sz w:val="32"/>
          <w:szCs w:val="32"/>
        </w:rPr>
      </w:pPr>
    </w:p>
    <w:p>
      <w:pPr>
        <w:spacing w:line="620" w:lineRule="exact"/>
        <w:jc w:val="center"/>
        <w:rPr>
          <w:rFonts w:ascii="Times New Roman" w:hAnsi="Times New Roman" w:cs="Times New Roman"/>
          <w:sz w:val="32"/>
          <w:szCs w:val="32"/>
        </w:rPr>
      </w:pPr>
    </w:p>
    <w:p>
      <w:pPr>
        <w:spacing w:line="380" w:lineRule="exact"/>
        <w:jc w:val="center"/>
        <w:rPr>
          <w:rFonts w:ascii="Times New Roman" w:hAnsi="Times New Roman" w:cs="Times New Roman"/>
          <w:bCs/>
          <w:szCs w:val="21"/>
        </w:rPr>
      </w:pPr>
      <w:r>
        <w:rPr>
          <w:rFonts w:hint="eastAsia" w:ascii="Times New Roman" w:hAnsi="Times New Roman" w:cs="Times New Roman"/>
          <w:b/>
          <w:sz w:val="32"/>
          <w:szCs w:val="32"/>
          <w:lang w:val="en-US" w:eastAsia="zh-CN"/>
        </w:rPr>
        <w:t xml:space="preserve"> </w:t>
      </w:r>
      <w:r>
        <w:rPr>
          <w:rFonts w:ascii="Times New Roman" w:hAnsi="Times New Roman" w:cs="Times New Roman"/>
          <w:bCs/>
          <w:szCs w:val="21"/>
        </w:rPr>
        <w:t xml:space="preserve">“Three </w:t>
      </w:r>
      <w:r>
        <w:rPr>
          <w:rFonts w:hint="eastAsia" w:ascii="Times New Roman" w:hAnsi="Times New Roman" w:cs="Times New Roman"/>
          <w:bCs/>
          <w:szCs w:val="21"/>
        </w:rPr>
        <w:t>Principles</w:t>
      </w:r>
      <w:r>
        <w:rPr>
          <w:rFonts w:ascii="Times New Roman" w:hAnsi="Times New Roman" w:cs="Times New Roman"/>
          <w:bCs/>
          <w:szCs w:val="21"/>
        </w:rPr>
        <w:t>”</w:t>
      </w:r>
      <w:r>
        <w:rPr>
          <w:rFonts w:hint="eastAsia" w:ascii="Times New Roman" w:hAnsi="Times New Roman" w:cs="Times New Roman"/>
          <w:bCs/>
          <w:szCs w:val="21"/>
        </w:rPr>
        <w:t xml:space="preserve"> </w:t>
      </w:r>
      <w:r>
        <w:rPr>
          <w:rFonts w:ascii="Times New Roman" w:hAnsi="Times New Roman" w:cs="Times New Roman"/>
          <w:bCs/>
          <w:szCs w:val="21"/>
        </w:rPr>
        <w:t>for</w:t>
      </w:r>
      <w:r>
        <w:rPr>
          <w:rFonts w:hint="eastAsia" w:ascii="Times New Roman" w:hAnsi="Times New Roman" w:cs="Times New Roman"/>
          <w:bCs/>
          <w:szCs w:val="21"/>
        </w:rPr>
        <w:t xml:space="preserve"> </w:t>
      </w:r>
      <w:r>
        <w:rPr>
          <w:rFonts w:ascii="Times New Roman" w:hAnsi="Times New Roman" w:cs="Times New Roman"/>
          <w:bCs/>
          <w:szCs w:val="21"/>
        </w:rPr>
        <w:t xml:space="preserve">Urban Transformation and Development </w:t>
      </w:r>
    </w:p>
    <w:p>
      <w:pPr>
        <w:spacing w:line="380" w:lineRule="exact"/>
        <w:jc w:val="center"/>
        <w:rPr>
          <w:rFonts w:ascii="Times New Roman" w:hAnsi="Times New Roman" w:cs="Times New Roman"/>
          <w:bCs/>
          <w:szCs w:val="21"/>
        </w:rPr>
      </w:pPr>
      <w:r>
        <w:rPr>
          <w:rFonts w:hint="eastAsia" w:ascii="Times New Roman" w:hAnsi="Times New Roman" w:cs="Times New Roman"/>
          <w:bCs/>
          <w:szCs w:val="21"/>
        </w:rPr>
        <w:t>-</w:t>
      </w:r>
      <w:r>
        <w:rPr>
          <w:rFonts w:ascii="Times New Roman" w:hAnsi="Times New Roman" w:cs="Times New Roman"/>
          <w:bCs/>
          <w:szCs w:val="21"/>
        </w:rPr>
        <w:t xml:space="preserve">--Reviewing the </w:t>
      </w:r>
      <w:r>
        <w:rPr>
          <w:rFonts w:hint="eastAsia" w:ascii="Times New Roman" w:hAnsi="Times New Roman" w:cs="Times New Roman"/>
          <w:bCs/>
          <w:szCs w:val="21"/>
        </w:rPr>
        <w:t>I</w:t>
      </w:r>
      <w:r>
        <w:rPr>
          <w:rFonts w:ascii="Times New Roman" w:hAnsi="Times New Roman" w:cs="Times New Roman"/>
          <w:bCs/>
          <w:szCs w:val="21"/>
        </w:rPr>
        <w:t xml:space="preserve">mportant </w:t>
      </w:r>
      <w:r>
        <w:rPr>
          <w:rFonts w:hint="eastAsia" w:ascii="Times New Roman" w:hAnsi="Times New Roman" w:cs="Times New Roman"/>
          <w:bCs/>
          <w:szCs w:val="21"/>
        </w:rPr>
        <w:t>I</w:t>
      </w:r>
      <w:r>
        <w:rPr>
          <w:rFonts w:ascii="Times New Roman" w:hAnsi="Times New Roman" w:cs="Times New Roman"/>
          <w:bCs/>
          <w:szCs w:val="21"/>
        </w:rPr>
        <w:t xml:space="preserve">nstructions of Comrade Xi Jinping in the </w:t>
      </w:r>
      <w:r>
        <w:rPr>
          <w:rFonts w:hint="eastAsia" w:ascii="Times New Roman" w:hAnsi="Times New Roman" w:cs="Times New Roman"/>
          <w:bCs/>
          <w:szCs w:val="21"/>
        </w:rPr>
        <w:t>I</w:t>
      </w:r>
      <w:r>
        <w:rPr>
          <w:rFonts w:ascii="Times New Roman" w:hAnsi="Times New Roman" w:cs="Times New Roman"/>
          <w:bCs/>
          <w:szCs w:val="21"/>
        </w:rPr>
        <w:t xml:space="preserve">nvestigation of the </w:t>
      </w:r>
      <w:r>
        <w:rPr>
          <w:rFonts w:hint="eastAsia" w:ascii="Times New Roman" w:hAnsi="Times New Roman" w:cs="Times New Roman"/>
          <w:bCs/>
          <w:szCs w:val="21"/>
        </w:rPr>
        <w:t>T</w:t>
      </w:r>
      <w:r>
        <w:rPr>
          <w:rFonts w:ascii="Times New Roman" w:hAnsi="Times New Roman" w:cs="Times New Roman"/>
          <w:bCs/>
          <w:szCs w:val="21"/>
        </w:rPr>
        <w:t xml:space="preserve">hree </w:t>
      </w:r>
      <w:r>
        <w:rPr>
          <w:rFonts w:hint="eastAsia" w:ascii="Times New Roman" w:hAnsi="Times New Roman" w:cs="Times New Roman"/>
          <w:bCs/>
          <w:szCs w:val="21"/>
        </w:rPr>
        <w:t>C</w:t>
      </w:r>
      <w:r>
        <w:rPr>
          <w:rFonts w:ascii="Times New Roman" w:hAnsi="Times New Roman" w:cs="Times New Roman"/>
          <w:bCs/>
          <w:szCs w:val="21"/>
        </w:rPr>
        <w:t>ities</w:t>
      </w:r>
    </w:p>
    <w:p>
      <w:pPr>
        <w:spacing w:line="380" w:lineRule="exact"/>
        <w:jc w:val="center"/>
        <w:rPr>
          <w:rFonts w:ascii="Times New Roman" w:hAnsi="Times New Roman" w:cs="Times New Roman"/>
          <w:bCs/>
          <w:szCs w:val="21"/>
        </w:rPr>
      </w:pPr>
      <w:r>
        <w:rPr>
          <w:rFonts w:ascii="Times New Roman" w:hAnsi="Times New Roman" w:cs="Times New Roman"/>
          <w:bCs/>
          <w:szCs w:val="21"/>
        </w:rPr>
        <w:t>CAO Hao</w:t>
      </w:r>
    </w:p>
    <w:p>
      <w:pPr>
        <w:spacing w:line="380" w:lineRule="exact"/>
        <w:jc w:val="center"/>
        <w:rPr>
          <w:rFonts w:hint="eastAsia" w:ascii="Times New Roman" w:hAnsi="Times New Roman" w:cs="Times New Roman"/>
          <w:bCs/>
          <w:szCs w:val="21"/>
        </w:rPr>
      </w:pPr>
      <w:r>
        <w:rPr>
          <w:rFonts w:hint="eastAsia" w:ascii="Times New Roman" w:hAnsi="Times New Roman" w:cs="Times New Roman"/>
          <w:bCs/>
          <w:szCs w:val="21"/>
        </w:rPr>
        <w:t>(</w:t>
      </w:r>
      <w:r>
        <w:rPr>
          <w:rFonts w:ascii="Times New Roman" w:hAnsi="Times New Roman" w:cs="Times New Roman"/>
          <w:bCs/>
          <w:szCs w:val="21"/>
        </w:rPr>
        <w:t>Party School of the Central Committee of CPC,</w:t>
      </w:r>
      <w:r>
        <w:rPr>
          <w:rFonts w:hint="eastAsia" w:ascii="Times New Roman" w:hAnsi="Times New Roman" w:cs="Times New Roman"/>
          <w:bCs/>
          <w:szCs w:val="21"/>
        </w:rPr>
        <w:t xml:space="preserve"> </w:t>
      </w:r>
      <w:r>
        <w:rPr>
          <w:rFonts w:ascii="Times New Roman" w:hAnsi="Times New Roman" w:cs="Times New Roman"/>
          <w:bCs/>
          <w:szCs w:val="21"/>
        </w:rPr>
        <w:t>Beijing</w:t>
      </w:r>
      <w:r>
        <w:rPr>
          <w:rFonts w:hint="eastAsia" w:ascii="Times New Roman" w:hAnsi="Times New Roman" w:cs="Times New Roman"/>
          <w:bCs/>
          <w:szCs w:val="21"/>
        </w:rPr>
        <w:t xml:space="preserve"> </w:t>
      </w:r>
      <w:r>
        <w:rPr>
          <w:rFonts w:ascii="Times New Roman" w:hAnsi="Times New Roman" w:cs="Times New Roman"/>
          <w:bCs/>
          <w:szCs w:val="21"/>
        </w:rPr>
        <w:t>100091</w:t>
      </w:r>
      <w:r>
        <w:rPr>
          <w:rFonts w:hint="eastAsia" w:ascii="Times New Roman" w:hAnsi="Times New Roman" w:cs="Times New Roman"/>
          <w:bCs/>
          <w:szCs w:val="21"/>
        </w:rPr>
        <w:t>, China)</w:t>
      </w:r>
    </w:p>
    <w:p>
      <w:pPr>
        <w:spacing w:line="380" w:lineRule="exact"/>
        <w:jc w:val="center"/>
        <w:rPr>
          <w:rFonts w:ascii="Times New Roman" w:hAnsi="Times New Roman" w:cs="Times New Roman"/>
          <w:bCs/>
          <w:szCs w:val="21"/>
        </w:rPr>
      </w:pPr>
    </w:p>
    <w:p>
      <w:pPr>
        <w:spacing w:line="380" w:lineRule="exact"/>
        <w:ind w:firstLine="422" w:firstLineChars="200"/>
        <w:rPr>
          <w:rFonts w:ascii="Times New Roman" w:hAnsi="Times New Roman" w:cs="Times New Roman"/>
          <w:szCs w:val="21"/>
        </w:rPr>
      </w:pPr>
      <w:r>
        <w:rPr>
          <w:rFonts w:ascii="Times New Roman" w:hAnsi="Times New Roman" w:cs="Times New Roman"/>
          <w:b/>
          <w:bCs/>
          <w:szCs w:val="21"/>
        </w:rPr>
        <w:t>Abstract</w:t>
      </w:r>
      <w:r>
        <w:rPr>
          <w:rFonts w:hint="eastAsia" w:ascii="Times New Roman" w:hAnsi="Times New Roman" w:cs="Times New Roman"/>
          <w:b/>
          <w:bCs/>
          <w:szCs w:val="21"/>
        </w:rPr>
        <w:t>:</w:t>
      </w:r>
      <w:r>
        <w:rPr>
          <w:rFonts w:hint="eastAsia" w:ascii="Times New Roman" w:hAnsi="Times New Roman" w:cs="Times New Roman"/>
          <w:szCs w:val="21"/>
        </w:rPr>
        <w:t xml:space="preserve"> </w:t>
      </w:r>
      <w:r>
        <w:rPr>
          <w:rFonts w:ascii="Times New Roman" w:hAnsi="Times New Roman" w:cs="Times New Roman"/>
          <w:szCs w:val="21"/>
        </w:rPr>
        <w:t>How does urban transformation proceed? Where is the direction, scale and power? The answers to these questions are related to our deep thinking on the nature of cities and the process of urbanization. Reviewing Comrade Xi Jinping's important expositions on urban development</w:t>
      </w:r>
      <w:r>
        <w:rPr>
          <w:rFonts w:hint="eastAsia" w:ascii="Times New Roman" w:hAnsi="Times New Roman" w:cs="Times New Roman"/>
          <w:szCs w:val="21"/>
        </w:rPr>
        <w:t xml:space="preserve"> during his work at both local and central committees </w:t>
      </w:r>
      <w:r>
        <w:rPr>
          <w:rFonts w:ascii="Times New Roman" w:hAnsi="Times New Roman" w:cs="Times New Roman"/>
          <w:szCs w:val="21"/>
        </w:rPr>
        <w:t xml:space="preserve">will help us clear up the mist and indicate the </w:t>
      </w:r>
      <w:r>
        <w:rPr>
          <w:rFonts w:hint="eastAsia" w:ascii="Times New Roman" w:hAnsi="Times New Roman" w:cs="Times New Roman"/>
          <w:szCs w:val="21"/>
        </w:rPr>
        <w:t xml:space="preserve">path of advancement, </w:t>
      </w:r>
      <w:r>
        <w:rPr>
          <w:rFonts w:ascii="Times New Roman" w:hAnsi="Times New Roman" w:cs="Times New Roman"/>
          <w:szCs w:val="21"/>
        </w:rPr>
        <w:t>so as to further strengthen the concept of development</w:t>
      </w:r>
      <w:r>
        <w:rPr>
          <w:rFonts w:hint="eastAsia" w:ascii="Times New Roman" w:hAnsi="Times New Roman" w:cs="Times New Roman"/>
          <w:szCs w:val="21"/>
        </w:rPr>
        <w:t xml:space="preserve"> in a scientific way</w:t>
      </w:r>
      <w:r>
        <w:rPr>
          <w:rFonts w:ascii="Times New Roman" w:hAnsi="Times New Roman" w:cs="Times New Roman"/>
          <w:szCs w:val="21"/>
        </w:rPr>
        <w:t xml:space="preserve">. In this paper, case study method is </w:t>
      </w:r>
      <w:r>
        <w:rPr>
          <w:rFonts w:hint="eastAsia" w:ascii="Times New Roman" w:hAnsi="Times New Roman" w:cs="Times New Roman"/>
          <w:szCs w:val="21"/>
        </w:rPr>
        <w:t xml:space="preserve">used and </w:t>
      </w:r>
      <w:r>
        <w:rPr>
          <w:rFonts w:ascii="Times New Roman" w:hAnsi="Times New Roman" w:cs="Times New Roman"/>
          <w:szCs w:val="21"/>
        </w:rPr>
        <w:t xml:space="preserve">three cities that Comrade Xi Jinping has inspected </w:t>
      </w:r>
      <w:r>
        <w:rPr>
          <w:rFonts w:hint="eastAsia" w:ascii="Times New Roman" w:hAnsi="Times New Roman" w:cs="Times New Roman"/>
          <w:szCs w:val="21"/>
        </w:rPr>
        <w:t xml:space="preserve">are selected </w:t>
      </w:r>
      <w:r>
        <w:rPr>
          <w:rFonts w:ascii="Times New Roman" w:hAnsi="Times New Roman" w:cs="Times New Roman"/>
          <w:szCs w:val="21"/>
        </w:rPr>
        <w:t>as the object of analysis</w:t>
      </w:r>
      <w:r>
        <w:rPr>
          <w:rFonts w:hint="eastAsia" w:ascii="Times New Roman" w:hAnsi="Times New Roman" w:cs="Times New Roman"/>
          <w:szCs w:val="21"/>
        </w:rPr>
        <w:t xml:space="preserve">. The purpose is to </w:t>
      </w:r>
      <w:r>
        <w:rPr>
          <w:rFonts w:ascii="Times New Roman" w:hAnsi="Times New Roman" w:cs="Times New Roman"/>
          <w:szCs w:val="21"/>
        </w:rPr>
        <w:t xml:space="preserve">conclude several useful </w:t>
      </w:r>
      <w:r>
        <w:rPr>
          <w:rFonts w:hint="eastAsia" w:ascii="Times New Roman" w:hAnsi="Times New Roman" w:cs="Times New Roman"/>
          <w:szCs w:val="21"/>
        </w:rPr>
        <w:t xml:space="preserve">suggestions for future investigation. </w:t>
      </w:r>
    </w:p>
    <w:p>
      <w:pPr>
        <w:spacing w:line="380" w:lineRule="exact"/>
        <w:rPr>
          <w:rFonts w:hint="eastAsia" w:ascii="Times New Roman" w:hAnsi="Times New Roman" w:cs="Times New Roman"/>
          <w:szCs w:val="21"/>
        </w:rPr>
      </w:pPr>
      <w:r>
        <w:rPr>
          <w:rFonts w:hint="eastAsia" w:ascii="Times New Roman" w:hAnsi="Times New Roman" w:cs="Times New Roman"/>
          <w:b/>
          <w:bCs/>
          <w:szCs w:val="21"/>
        </w:rPr>
        <w:t>Key words:</w:t>
      </w:r>
      <w:r>
        <w:rPr>
          <w:rFonts w:hint="eastAsia" w:ascii="Times New Roman" w:hAnsi="Times New Roman" w:cs="Times New Roman"/>
          <w:szCs w:val="21"/>
        </w:rPr>
        <w:t xml:space="preserve"> c</w:t>
      </w:r>
      <w:r>
        <w:rPr>
          <w:rFonts w:ascii="Times New Roman" w:hAnsi="Times New Roman" w:cs="Times New Roman"/>
          <w:szCs w:val="21"/>
        </w:rPr>
        <w:t>ity</w:t>
      </w:r>
      <w:r>
        <w:rPr>
          <w:rFonts w:hint="eastAsia" w:ascii="Times New Roman" w:hAnsi="Times New Roman" w:cs="Times New Roman"/>
          <w:szCs w:val="21"/>
        </w:rPr>
        <w:t>; t</w:t>
      </w:r>
      <w:r>
        <w:rPr>
          <w:rFonts w:ascii="Times New Roman" w:hAnsi="Times New Roman" w:cs="Times New Roman"/>
          <w:szCs w:val="21"/>
        </w:rPr>
        <w:t>ransformation</w:t>
      </w:r>
      <w:r>
        <w:rPr>
          <w:rFonts w:hint="eastAsia" w:ascii="Times New Roman" w:hAnsi="Times New Roman" w:cs="Times New Roman"/>
          <w:szCs w:val="21"/>
        </w:rPr>
        <w:t>; e</w:t>
      </w:r>
      <w:r>
        <w:rPr>
          <w:rFonts w:ascii="Times New Roman" w:hAnsi="Times New Roman" w:cs="Times New Roman"/>
          <w:szCs w:val="21"/>
        </w:rPr>
        <w:t>xperience</w:t>
      </w:r>
    </w:p>
    <w:p>
      <w:pPr>
        <w:spacing w:line="620" w:lineRule="exact"/>
        <w:rPr>
          <w:rFonts w:hint="eastAsia" w:ascii="Times New Roman" w:hAnsi="Times New Roman" w:cs="Times New Roman" w:eastAsiaTheme="minorEastAsia"/>
          <w:sz w:val="36"/>
          <w:szCs w:val="36"/>
          <w:lang w:val="en-US" w:eastAsia="zh-CN"/>
        </w:rPr>
      </w:pPr>
      <w:r>
        <w:rPr>
          <w:rFonts w:hint="eastAsia" w:ascii="Times New Roman" w:hAnsi="Times New Roman" w:cs="Times New Roman"/>
          <w:sz w:val="36"/>
          <w:szCs w:val="36"/>
          <w:lang w:val="en-US" w:eastAsia="zh-CN"/>
        </w:rPr>
        <w:t>（责任编辑：侯净雯）</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4439412"/>
      <w:docPartObj>
        <w:docPartGallery w:val="autotext"/>
      </w:docPartObj>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6"/>
      </w:pPr>
      <w:r>
        <w:rPr>
          <w:rStyle w:val="10"/>
        </w:rPr>
        <w:footnoteRef/>
      </w:r>
      <w:r>
        <w:rPr>
          <w:rFonts w:hint="eastAsia"/>
        </w:rPr>
        <w:t xml:space="preserve"> 收稿日期：2019年9月9日</w:t>
      </w:r>
    </w:p>
    <w:p>
      <w:pPr>
        <w:pStyle w:val="6"/>
        <w:ind w:firstLine="90" w:firstLineChars="50"/>
      </w:pPr>
      <w:r>
        <w:rPr>
          <w:rFonts w:hint="eastAsia"/>
        </w:rPr>
        <w:t>作者简介：曹昊（1982-），男，辽宁辽阳人，博士，中共中央党校（国家行政学院）研究室干部，研究方向：城市经济、党的建设。</w:t>
      </w:r>
      <w:bookmarkStart w:id="0" w:name="_GoBack"/>
      <w:bookmarkEnd w:id="0"/>
    </w:p>
    <w:p>
      <w:pPr>
        <w:pStyle w:val="6"/>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2D"/>
    <w:rsid w:val="0001269B"/>
    <w:rsid w:val="00016E3B"/>
    <w:rsid w:val="000356E2"/>
    <w:rsid w:val="00045F2F"/>
    <w:rsid w:val="0004615F"/>
    <w:rsid w:val="00046FA9"/>
    <w:rsid w:val="0005772A"/>
    <w:rsid w:val="00064D4E"/>
    <w:rsid w:val="0006693A"/>
    <w:rsid w:val="00097FA8"/>
    <w:rsid w:val="000A3718"/>
    <w:rsid w:val="000A7C9D"/>
    <w:rsid w:val="000C408A"/>
    <w:rsid w:val="000D22B5"/>
    <w:rsid w:val="000E1073"/>
    <w:rsid w:val="000F3062"/>
    <w:rsid w:val="00121EAF"/>
    <w:rsid w:val="00124572"/>
    <w:rsid w:val="00134688"/>
    <w:rsid w:val="00156B74"/>
    <w:rsid w:val="001627BB"/>
    <w:rsid w:val="00163397"/>
    <w:rsid w:val="00165DC3"/>
    <w:rsid w:val="00174C64"/>
    <w:rsid w:val="001943C2"/>
    <w:rsid w:val="001A06B2"/>
    <w:rsid w:val="001A126C"/>
    <w:rsid w:val="001A176D"/>
    <w:rsid w:val="001A3ABE"/>
    <w:rsid w:val="001B144D"/>
    <w:rsid w:val="001B64A9"/>
    <w:rsid w:val="001C3FFA"/>
    <w:rsid w:val="001C4342"/>
    <w:rsid w:val="001C5B26"/>
    <w:rsid w:val="001D1C18"/>
    <w:rsid w:val="001E1A72"/>
    <w:rsid w:val="001F3CAD"/>
    <w:rsid w:val="0020599A"/>
    <w:rsid w:val="002238A1"/>
    <w:rsid w:val="002270DE"/>
    <w:rsid w:val="00240B4D"/>
    <w:rsid w:val="002436B7"/>
    <w:rsid w:val="00245C0A"/>
    <w:rsid w:val="002465B8"/>
    <w:rsid w:val="0025699E"/>
    <w:rsid w:val="002638E4"/>
    <w:rsid w:val="002714AD"/>
    <w:rsid w:val="00271A95"/>
    <w:rsid w:val="0028502C"/>
    <w:rsid w:val="00286D4F"/>
    <w:rsid w:val="00287870"/>
    <w:rsid w:val="002A6736"/>
    <w:rsid w:val="002D3FF1"/>
    <w:rsid w:val="002D7D60"/>
    <w:rsid w:val="002E6FF9"/>
    <w:rsid w:val="002F02C8"/>
    <w:rsid w:val="002F39C6"/>
    <w:rsid w:val="0030233A"/>
    <w:rsid w:val="00311EA0"/>
    <w:rsid w:val="00314F75"/>
    <w:rsid w:val="003235A5"/>
    <w:rsid w:val="0032498E"/>
    <w:rsid w:val="0034127A"/>
    <w:rsid w:val="00345599"/>
    <w:rsid w:val="00350FF4"/>
    <w:rsid w:val="00367B5B"/>
    <w:rsid w:val="00367D5C"/>
    <w:rsid w:val="00370C2A"/>
    <w:rsid w:val="003749FA"/>
    <w:rsid w:val="00377149"/>
    <w:rsid w:val="00395649"/>
    <w:rsid w:val="003A06E0"/>
    <w:rsid w:val="003C1061"/>
    <w:rsid w:val="003C25C1"/>
    <w:rsid w:val="003C384F"/>
    <w:rsid w:val="003C4B47"/>
    <w:rsid w:val="003C57BB"/>
    <w:rsid w:val="003D1CE8"/>
    <w:rsid w:val="003D4C74"/>
    <w:rsid w:val="003E6523"/>
    <w:rsid w:val="0040680F"/>
    <w:rsid w:val="00415F4E"/>
    <w:rsid w:val="00425D91"/>
    <w:rsid w:val="00433900"/>
    <w:rsid w:val="004419FB"/>
    <w:rsid w:val="00450046"/>
    <w:rsid w:val="00450268"/>
    <w:rsid w:val="004506F7"/>
    <w:rsid w:val="004508D0"/>
    <w:rsid w:val="00454907"/>
    <w:rsid w:val="00461912"/>
    <w:rsid w:val="00462FF2"/>
    <w:rsid w:val="00466498"/>
    <w:rsid w:val="0047251E"/>
    <w:rsid w:val="00475158"/>
    <w:rsid w:val="0047644B"/>
    <w:rsid w:val="004772C2"/>
    <w:rsid w:val="004933CA"/>
    <w:rsid w:val="004947DC"/>
    <w:rsid w:val="00497CE5"/>
    <w:rsid w:val="004D2401"/>
    <w:rsid w:val="004D6B9B"/>
    <w:rsid w:val="004E2DDB"/>
    <w:rsid w:val="004E7E09"/>
    <w:rsid w:val="004F2168"/>
    <w:rsid w:val="004F273D"/>
    <w:rsid w:val="005050F3"/>
    <w:rsid w:val="00505638"/>
    <w:rsid w:val="005179CD"/>
    <w:rsid w:val="00520AD7"/>
    <w:rsid w:val="00530855"/>
    <w:rsid w:val="00535C7E"/>
    <w:rsid w:val="00541FAA"/>
    <w:rsid w:val="00542F82"/>
    <w:rsid w:val="00543E92"/>
    <w:rsid w:val="00563A11"/>
    <w:rsid w:val="00565962"/>
    <w:rsid w:val="00565B77"/>
    <w:rsid w:val="00587AFB"/>
    <w:rsid w:val="00593A1E"/>
    <w:rsid w:val="005A3FFB"/>
    <w:rsid w:val="005A6FA8"/>
    <w:rsid w:val="005B3AC5"/>
    <w:rsid w:val="005B66D0"/>
    <w:rsid w:val="005D1759"/>
    <w:rsid w:val="005D74F5"/>
    <w:rsid w:val="005F02F6"/>
    <w:rsid w:val="005F042D"/>
    <w:rsid w:val="005F4005"/>
    <w:rsid w:val="00602919"/>
    <w:rsid w:val="006111B0"/>
    <w:rsid w:val="00612408"/>
    <w:rsid w:val="00617C5C"/>
    <w:rsid w:val="0062126F"/>
    <w:rsid w:val="00622349"/>
    <w:rsid w:val="00637B69"/>
    <w:rsid w:val="00642CC0"/>
    <w:rsid w:val="00643118"/>
    <w:rsid w:val="006534A3"/>
    <w:rsid w:val="006578AA"/>
    <w:rsid w:val="00662CD7"/>
    <w:rsid w:val="006652B0"/>
    <w:rsid w:val="00674EA5"/>
    <w:rsid w:val="006A1352"/>
    <w:rsid w:val="006A353F"/>
    <w:rsid w:val="006B0A51"/>
    <w:rsid w:val="006B24AC"/>
    <w:rsid w:val="006B759C"/>
    <w:rsid w:val="006E025B"/>
    <w:rsid w:val="006E0A70"/>
    <w:rsid w:val="006E603B"/>
    <w:rsid w:val="00707AB0"/>
    <w:rsid w:val="007118F3"/>
    <w:rsid w:val="007307F3"/>
    <w:rsid w:val="0074729C"/>
    <w:rsid w:val="0077128E"/>
    <w:rsid w:val="0077438C"/>
    <w:rsid w:val="00781196"/>
    <w:rsid w:val="00784E76"/>
    <w:rsid w:val="007852CE"/>
    <w:rsid w:val="0079050E"/>
    <w:rsid w:val="00793B23"/>
    <w:rsid w:val="007A3C6F"/>
    <w:rsid w:val="007A3FAF"/>
    <w:rsid w:val="007B24E5"/>
    <w:rsid w:val="007B51EF"/>
    <w:rsid w:val="007B74A3"/>
    <w:rsid w:val="007B79F2"/>
    <w:rsid w:val="007C3631"/>
    <w:rsid w:val="007C5024"/>
    <w:rsid w:val="007D3667"/>
    <w:rsid w:val="007F198E"/>
    <w:rsid w:val="007F46AE"/>
    <w:rsid w:val="0082080B"/>
    <w:rsid w:val="0082171A"/>
    <w:rsid w:val="008315B6"/>
    <w:rsid w:val="00832D92"/>
    <w:rsid w:val="00840C7E"/>
    <w:rsid w:val="00841CDE"/>
    <w:rsid w:val="0084661E"/>
    <w:rsid w:val="00870E98"/>
    <w:rsid w:val="00877AE4"/>
    <w:rsid w:val="008862C4"/>
    <w:rsid w:val="008927DF"/>
    <w:rsid w:val="008A1356"/>
    <w:rsid w:val="008D1F87"/>
    <w:rsid w:val="008D7CFA"/>
    <w:rsid w:val="008E4F1C"/>
    <w:rsid w:val="008F27D9"/>
    <w:rsid w:val="00910EA5"/>
    <w:rsid w:val="00914512"/>
    <w:rsid w:val="00923318"/>
    <w:rsid w:val="00926D56"/>
    <w:rsid w:val="00931680"/>
    <w:rsid w:val="009319EE"/>
    <w:rsid w:val="00944AC4"/>
    <w:rsid w:val="0095533F"/>
    <w:rsid w:val="00957AA5"/>
    <w:rsid w:val="00960691"/>
    <w:rsid w:val="00966FB0"/>
    <w:rsid w:val="009722C6"/>
    <w:rsid w:val="00972388"/>
    <w:rsid w:val="009779F6"/>
    <w:rsid w:val="00981036"/>
    <w:rsid w:val="00984393"/>
    <w:rsid w:val="009A3808"/>
    <w:rsid w:val="009A4116"/>
    <w:rsid w:val="009A7738"/>
    <w:rsid w:val="009B2E5B"/>
    <w:rsid w:val="009C235C"/>
    <w:rsid w:val="009E6D6C"/>
    <w:rsid w:val="009E7504"/>
    <w:rsid w:val="009F4E32"/>
    <w:rsid w:val="00A00091"/>
    <w:rsid w:val="00A03497"/>
    <w:rsid w:val="00A04A91"/>
    <w:rsid w:val="00A12C3B"/>
    <w:rsid w:val="00A30EAD"/>
    <w:rsid w:val="00A44BD4"/>
    <w:rsid w:val="00A9017C"/>
    <w:rsid w:val="00AA3A2C"/>
    <w:rsid w:val="00AA522E"/>
    <w:rsid w:val="00AB1C09"/>
    <w:rsid w:val="00AB22F6"/>
    <w:rsid w:val="00AB7CD9"/>
    <w:rsid w:val="00AD0A93"/>
    <w:rsid w:val="00AE6539"/>
    <w:rsid w:val="00AF15BE"/>
    <w:rsid w:val="00AF4554"/>
    <w:rsid w:val="00B021AD"/>
    <w:rsid w:val="00B04557"/>
    <w:rsid w:val="00B132B3"/>
    <w:rsid w:val="00B2774A"/>
    <w:rsid w:val="00B657BD"/>
    <w:rsid w:val="00B705FA"/>
    <w:rsid w:val="00B71186"/>
    <w:rsid w:val="00B75889"/>
    <w:rsid w:val="00B901B7"/>
    <w:rsid w:val="00B91EC6"/>
    <w:rsid w:val="00B97ED1"/>
    <w:rsid w:val="00BA445C"/>
    <w:rsid w:val="00BA6645"/>
    <w:rsid w:val="00BE10E7"/>
    <w:rsid w:val="00BF78B0"/>
    <w:rsid w:val="00C05AB9"/>
    <w:rsid w:val="00C06AA5"/>
    <w:rsid w:val="00C07907"/>
    <w:rsid w:val="00C2273A"/>
    <w:rsid w:val="00C22ADD"/>
    <w:rsid w:val="00C22D56"/>
    <w:rsid w:val="00C45B0E"/>
    <w:rsid w:val="00C47A67"/>
    <w:rsid w:val="00C54E7A"/>
    <w:rsid w:val="00C5566B"/>
    <w:rsid w:val="00C66E32"/>
    <w:rsid w:val="00C778EF"/>
    <w:rsid w:val="00C8278E"/>
    <w:rsid w:val="00C94626"/>
    <w:rsid w:val="00CB4C9B"/>
    <w:rsid w:val="00CC6129"/>
    <w:rsid w:val="00CC7303"/>
    <w:rsid w:val="00CD4FE8"/>
    <w:rsid w:val="00CE0FFB"/>
    <w:rsid w:val="00CE271A"/>
    <w:rsid w:val="00CE5834"/>
    <w:rsid w:val="00D1056B"/>
    <w:rsid w:val="00D10DBC"/>
    <w:rsid w:val="00D230F6"/>
    <w:rsid w:val="00D4648F"/>
    <w:rsid w:val="00D53C56"/>
    <w:rsid w:val="00D65E99"/>
    <w:rsid w:val="00D672D3"/>
    <w:rsid w:val="00D702E3"/>
    <w:rsid w:val="00D84421"/>
    <w:rsid w:val="00D97F21"/>
    <w:rsid w:val="00DA3568"/>
    <w:rsid w:val="00DA4EBD"/>
    <w:rsid w:val="00DD0691"/>
    <w:rsid w:val="00DD34DF"/>
    <w:rsid w:val="00DE1E4E"/>
    <w:rsid w:val="00DF6613"/>
    <w:rsid w:val="00E13A84"/>
    <w:rsid w:val="00E15736"/>
    <w:rsid w:val="00E42151"/>
    <w:rsid w:val="00E43170"/>
    <w:rsid w:val="00E4413B"/>
    <w:rsid w:val="00E54F55"/>
    <w:rsid w:val="00E7747F"/>
    <w:rsid w:val="00E82768"/>
    <w:rsid w:val="00EA6F19"/>
    <w:rsid w:val="00EE06AD"/>
    <w:rsid w:val="00EE215E"/>
    <w:rsid w:val="00EF0160"/>
    <w:rsid w:val="00F025C9"/>
    <w:rsid w:val="00F12481"/>
    <w:rsid w:val="00F275B5"/>
    <w:rsid w:val="00F33490"/>
    <w:rsid w:val="00F356B1"/>
    <w:rsid w:val="00F3664C"/>
    <w:rsid w:val="00F6091F"/>
    <w:rsid w:val="00F621AC"/>
    <w:rsid w:val="00F8160D"/>
    <w:rsid w:val="00F85121"/>
    <w:rsid w:val="00FA768D"/>
    <w:rsid w:val="00FE5BCA"/>
    <w:rsid w:val="00FF0F18"/>
    <w:rsid w:val="00FF5A7E"/>
    <w:rsid w:val="2F2E6F1A"/>
    <w:rsid w:val="59D82CDA"/>
    <w:rsid w:val="5BFC25E4"/>
    <w:rsid w:val="5FA22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endnote text"/>
    <w:basedOn w:val="1"/>
    <w:link w:val="15"/>
    <w:semiHidden/>
    <w:unhideWhenUsed/>
    <w:uiPriority w:val="99"/>
    <w:pPr>
      <w:snapToGrid w:val="0"/>
      <w:jc w:val="left"/>
    </w:pPr>
  </w:style>
  <w:style w:type="paragraph" w:styleId="3">
    <w:name w:val="Balloon Text"/>
    <w:basedOn w:val="1"/>
    <w:link w:val="14"/>
    <w:semiHidden/>
    <w:unhideWhenUsed/>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16"/>
    <w:semiHidden/>
    <w:unhideWhenUsed/>
    <w:qFormat/>
    <w:uiPriority w:val="99"/>
    <w:pPr>
      <w:snapToGrid w:val="0"/>
      <w:jc w:val="left"/>
    </w:pPr>
    <w:rPr>
      <w:sz w:val="18"/>
      <w:szCs w:val="18"/>
    </w:rPr>
  </w:style>
  <w:style w:type="character" w:styleId="9">
    <w:name w:val="endnote reference"/>
    <w:basedOn w:val="8"/>
    <w:semiHidden/>
    <w:unhideWhenUsed/>
    <w:uiPriority w:val="99"/>
    <w:rPr>
      <w:vertAlign w:val="superscript"/>
    </w:rPr>
  </w:style>
  <w:style w:type="character" w:styleId="10">
    <w:name w:val="footnote reference"/>
    <w:basedOn w:val="8"/>
    <w:semiHidden/>
    <w:unhideWhenUsed/>
    <w:qFormat/>
    <w:uiPriority w:val="99"/>
    <w:rPr>
      <w:vertAlign w:val="superscript"/>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8"/>
    <w:link w:val="3"/>
    <w:semiHidden/>
    <w:qFormat/>
    <w:uiPriority w:val="99"/>
    <w:rPr>
      <w:sz w:val="18"/>
      <w:szCs w:val="18"/>
    </w:rPr>
  </w:style>
  <w:style w:type="character" w:customStyle="1" w:styleId="15">
    <w:name w:val="尾注文本 Char"/>
    <w:basedOn w:val="8"/>
    <w:link w:val="2"/>
    <w:semiHidden/>
    <w:qFormat/>
    <w:uiPriority w:val="99"/>
  </w:style>
  <w:style w:type="character" w:customStyle="1" w:styleId="16">
    <w:name w:val="脚注文本 Char"/>
    <w:basedOn w:val="8"/>
    <w:link w:val="6"/>
    <w:semiHidden/>
    <w:qFormat/>
    <w:uiPriority w:val="99"/>
    <w:rPr>
      <w:sz w:val="18"/>
      <w:szCs w:val="18"/>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072DEE-92E3-4AFC-836F-D9E53A1EE686}">
  <ds:schemaRefs/>
</ds:datastoreItem>
</file>

<file path=docProps/app.xml><?xml version="1.0" encoding="utf-8"?>
<Properties xmlns="http://schemas.openxmlformats.org/officeDocument/2006/extended-properties" xmlns:vt="http://schemas.openxmlformats.org/officeDocument/2006/docPropsVTypes">
  <Template>Normal</Template>
  <Company>中共中央党校</Company>
  <Pages>12</Pages>
  <Words>977</Words>
  <Characters>5575</Characters>
  <Lines>46</Lines>
  <Paragraphs>13</Paragraphs>
  <TotalTime>0</TotalTime>
  <ScaleCrop>false</ScaleCrop>
  <LinksUpToDate>false</LinksUpToDate>
  <CharactersWithSpaces>6539</CharactersWithSpaces>
  <Application>WPS Office_11.1.0.8765_F1E327BC-269C-435d-A152-05C5408002CA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2019-08-19T01:36:00Z</dcterms:created>
  <dc:creator>研究室2016</dc:creator>
  <lastModifiedBy>HH</lastModifiedBy>
  <dcterms:modified xsi:type="dcterms:W3CDTF">2019-09-23T05:31:40Z</dcterms:modified>
  <revision>61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